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right"/>
        <w:rPr>
          <w:rFonts w:ascii="宋体" w:hAnsi="宋体"/>
          <w:sz w:val="200"/>
          <w:szCs w:val="200"/>
        </w:rPr>
      </w:pPr>
      <w:r>
        <w:rPr>
          <w:sz w:val="200"/>
          <w:szCs w:val="200"/>
        </w:rPr>
        <w:t>JJF</w:t>
      </w:r>
    </w:p>
    <w:p>
      <w:pPr>
        <w:autoSpaceDE w:val="0"/>
        <w:autoSpaceDN w:val="0"/>
        <w:adjustRightInd w:val="0"/>
        <w:jc w:val="center"/>
        <w:rPr>
          <w:rFonts w:ascii="宋体" w:hAnsi="宋体"/>
          <w:sz w:val="52"/>
          <w:szCs w:val="52"/>
        </w:rPr>
      </w:pPr>
      <w:r>
        <w:rPr>
          <w:rFonts w:hint="eastAsia" w:asciiTheme="majorEastAsia" w:hAnsiTheme="majorEastAsia" w:eastAsiaTheme="majorEastAsia" w:cstheme="majorEastAsia"/>
          <w:sz w:val="52"/>
          <w:szCs w:val="52"/>
          <w:lang w:val="zh-CN"/>
        </w:rPr>
        <w:t>中华人民共和国国家计量技术规范</w:t>
      </w:r>
    </w:p>
    <w:p>
      <w:pPr>
        <w:autoSpaceDE w:val="0"/>
        <w:autoSpaceDN w:val="0"/>
        <w:adjustRightInd w:val="0"/>
        <w:ind w:right="640"/>
        <w:jc w:val="right"/>
        <w:rPr>
          <w:rFonts w:ascii="黑体" w:eastAsia="黑体"/>
          <w:color w:val="auto"/>
          <w:sz w:val="28"/>
          <w:szCs w:val="28"/>
        </w:rPr>
      </w:pPr>
      <w:r>
        <w:rPr>
          <w:rFonts w:hint="eastAsia" w:ascii="黑体" w:eastAsia="黑体"/>
          <w:color w:val="auto"/>
          <w:sz w:val="28"/>
          <w:szCs w:val="28"/>
        </w:rPr>
        <w:t>JJF XXXX-XXXX</w:t>
      </w:r>
    </w:p>
    <w:p>
      <w:pPr>
        <w:autoSpaceDE w:val="0"/>
        <w:autoSpaceDN w:val="0"/>
        <w:adjustRightInd w:val="0"/>
        <w:jc w:val="left"/>
        <w:rPr>
          <w:rFonts w:eastAsia="黑体"/>
          <w:kern w:val="0"/>
          <w:sz w:val="14"/>
          <w:szCs w:val="14"/>
        </w:rPr>
      </w:pPr>
      <w:r>
        <w:rPr>
          <w:sz w:val="3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-48260</wp:posOffset>
                </wp:positionH>
                <wp:positionV relativeFrom="paragraph">
                  <wp:posOffset>36195</wp:posOffset>
                </wp:positionV>
                <wp:extent cx="6102985" cy="0"/>
                <wp:effectExtent l="0" t="0" r="0" b="0"/>
                <wp:wrapNone/>
                <wp:docPr id="24" name="直接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92835" y="3069590"/>
                          <a:ext cx="610298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3.8pt;margin-top:2.85pt;height:0pt;width:480.55pt;z-index:251659264;mso-width-relative:page;mso-height-relative:page;" filled="f" stroked="t" coordsize="21600,21600" o:gfxdata="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LLCvTdUAAAAGAQAADwAAAAAAAAABACAAAAAiAAAAZHJzL2Rv&#10;d25yZXYueG1sUEsBAhQAFAAAAAgAh07iQL+EPIDLAQAAWgMAAA4AAAAAAAAAAQAgAAAAJAEAAGRy&#10;cy9lMm9Eb2MueG1sUEsFBgAAAAAGAAYAWQEAAGEFAAAAAA==&#10;">
                <v:fill on="f" focussize="0,0"/>
                <v:stroke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eastAsia="黑体"/>
          <w:color w:val="FF0000"/>
          <w:kern w:val="0"/>
          <w:sz w:val="38"/>
          <w:szCs w:val="38"/>
        </w:rPr>
        <mc:AlternateContent>
          <mc:Choice Requires="wpg">
            <w:drawing>
              <wp:inline distT="0" distB="0" distL="114300" distR="114300">
                <wp:extent cx="6004560" cy="98425"/>
                <wp:effectExtent l="0" t="0" r="0" b="0"/>
                <wp:docPr id="16" name="组合 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04560" cy="98425"/>
                          <a:chOff x="0" y="0"/>
                          <a:chExt cx="6004560" cy="98425"/>
                        </a:xfrm>
                      </wpg:grpSpPr>
                      <wps:wsp>
                        <wps:cNvPr id="14" name="图片 91"/>
                        <wps:cNvSpPr>
                          <a:spLocks noChangeAspect="1" noTextEdit="1"/>
                        </wps:cNvSpPr>
                        <wps:spPr>
                          <a:xfrm>
                            <a:off x="0" y="0"/>
                            <a:ext cx="7200" cy="1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bodyPr vert="horz" anchor="t" upright="1"/>
                      </wps:wsp>
                      <wps:wsp>
                        <wps:cNvPr id="15" name="直线 92"/>
                        <wps:cNvCnPr/>
                        <wps:spPr>
                          <a:xfrm>
                            <a:off x="313" y="0"/>
                            <a:ext cx="673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90" o:spid="_x0000_s1026" o:spt="203" style="height:7.75pt;width:472.8pt;" coordsize="6004560,98425" o:gfxdata="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">
                <o:lock v:ext="edit" aspectratio="f"/>
                <v:rect id="图片 91" o:spid="_x0000_s1026" o:spt="1" style="position:absolute;left:0;top:0;height:136;width:7200;" filled="f" stroked="f" coordsize="21600,21600" o:gfxdata="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vBKIT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text="t" aspectratio="t"/>
                </v:rect>
                <v:line id="直线 92" o:spid="_x0000_s1026" o:spt="20" style="position:absolute;left:313;top:0;height:1;width:6730;" filled="f" stroked="t" coordsize="21600,21600" o:gfxdata="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dLczC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  <w:r>
        <w:rPr>
          <w:rFonts w:eastAsia="黑体"/>
          <w:kern w:val="0"/>
          <w:sz w:val="38"/>
          <w:szCs w:val="38"/>
        </w:rPr>
        <mc:AlternateContent>
          <mc:Choice Requires="wpg">
            <w:drawing>
              <wp:inline distT="0" distB="0" distL="114300" distR="114300">
                <wp:extent cx="6054090" cy="297180"/>
                <wp:effectExtent l="0" t="0" r="0" b="0"/>
                <wp:docPr id="7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54090" cy="297180"/>
                          <a:chOff x="0" y="0"/>
                          <a:chExt cx="6054090" cy="297180"/>
                        </a:xfrm>
                      </wpg:grpSpPr>
                      <wps:wsp>
                        <wps:cNvPr id="5" name="图片 9"/>
                        <wps:cNvSpPr>
                          <a:spLocks noChangeAspect="1" noTextEdit="1"/>
                        </wps:cNvSpPr>
                        <wps:spPr>
                          <a:xfrm>
                            <a:off x="0" y="0"/>
                            <a:ext cx="9534" cy="4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8" o:spid="_x0000_s1026" o:spt="203" style="height:23.4pt;width:476.7pt;" coordsize="6054090,297180" o:gfxdata="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+jvJr1gAAAAQBAAAPAAAAAAAAAAEAIAAAACIAAABkcnMvZG93&#10;bnJldi54bWxQSwECFAAUAAAACACHTuJAF3sdtQICAABVBAAADgAAAAAAAAABACAAAAAlAQAAZHJz&#10;L2Uyb0RvYy54bWxQSwUGAAAAAAYABgBZAQAAmQUAAAAA&#10;">
                <o:lock v:ext="edit" aspectratio="f"/>
                <v:rect id="图片 9" o:spid="_x0000_s1026" o:spt="1" style="position:absolute;left:0;top:0;height:468;width:9534;" filled="f" stroked="f" coordsize="21600,21600" o:gfxdata="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zAy9O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text="t" aspectratio="t"/>
                </v:rect>
                <w10:wrap type="none"/>
                <w10:anchorlock/>
              </v:group>
            </w:pict>
          </mc:Fallback>
        </mc:AlternateContent>
      </w:r>
    </w:p>
    <w:p>
      <w:pPr>
        <w:jc w:val="center"/>
        <w:rPr>
          <w:rFonts w:eastAsia="黑体"/>
          <w:kern w:val="0"/>
          <w:sz w:val="52"/>
          <w:szCs w:val="52"/>
        </w:rPr>
      </w:pPr>
    </w:p>
    <w:p>
      <w:pPr>
        <w:jc w:val="center"/>
        <w:rPr>
          <w:rFonts w:eastAsia="黑体"/>
          <w:kern w:val="0"/>
          <w:sz w:val="52"/>
          <w:szCs w:val="52"/>
        </w:rPr>
      </w:pPr>
    </w:p>
    <w:p>
      <w:pPr>
        <w:jc w:val="center"/>
        <w:rPr>
          <w:rFonts w:eastAsia="黑体"/>
          <w:kern w:val="0"/>
          <w:sz w:val="52"/>
          <w:szCs w:val="52"/>
        </w:rPr>
      </w:pPr>
      <w:r>
        <w:rPr>
          <w:rFonts w:hint="eastAsia" w:ascii="黑体" w:hAnsi="黑体" w:eastAsia="黑体" w:cs="黑体"/>
          <w:kern w:val="0"/>
          <w:sz w:val="52"/>
          <w:szCs w:val="52"/>
        </w:rPr>
        <w:t>煤中氟/氯测定仪校准规范</w:t>
      </w:r>
    </w:p>
    <w:p>
      <w:pPr>
        <w:autoSpaceDE w:val="0"/>
        <w:autoSpaceDN w:val="0"/>
        <w:adjustRightInd w:val="0"/>
        <w:jc w:val="center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Calibration Specification for Fluorine</w:t>
      </w:r>
    </w:p>
    <w:p>
      <w:pPr>
        <w:jc w:val="center"/>
        <w:rPr>
          <w:rFonts w:eastAsia="黑体"/>
          <w:kern w:val="0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/Chlorine testers in Coal</w:t>
      </w:r>
    </w:p>
    <w:p>
      <w:pPr>
        <w:autoSpaceDE w:val="0"/>
        <w:autoSpaceDN w:val="0"/>
        <w:adjustRightInd w:val="0"/>
        <w:jc w:val="center"/>
        <w:rPr>
          <w:rFonts w:eastAsia="黑体"/>
          <w:kern w:val="0"/>
          <w:sz w:val="32"/>
          <w:szCs w:val="32"/>
        </w:rPr>
      </w:pPr>
      <w:r>
        <w:rPr>
          <w:rFonts w:eastAsia="黑体"/>
          <w:kern w:val="0"/>
          <w:sz w:val="32"/>
          <w:szCs w:val="32"/>
        </w:rPr>
        <w:t>（</w:t>
      </w:r>
      <w:r>
        <w:rPr>
          <w:rFonts w:hint="eastAsia" w:cs="宋体"/>
          <w:sz w:val="32"/>
          <w:szCs w:val="32"/>
        </w:rPr>
        <w:t>征求意见</w:t>
      </w:r>
      <w:r>
        <w:rPr>
          <w:rFonts w:hint="eastAsia" w:cs="宋体"/>
          <w:sz w:val="32"/>
          <w:szCs w:val="32"/>
          <w:lang w:val="zh-CN"/>
        </w:rPr>
        <w:t>稿</w:t>
      </w:r>
      <w:r>
        <w:rPr>
          <w:rFonts w:eastAsia="黑体"/>
          <w:kern w:val="0"/>
          <w:sz w:val="32"/>
          <w:szCs w:val="32"/>
        </w:rPr>
        <w:t>）</w:t>
      </w:r>
    </w:p>
    <w:p>
      <w:pPr>
        <w:autoSpaceDE w:val="0"/>
        <w:autoSpaceDN w:val="0"/>
        <w:adjustRightInd w:val="0"/>
        <w:jc w:val="left"/>
        <w:rPr>
          <w:rFonts w:eastAsia="黑体"/>
          <w:kern w:val="0"/>
          <w:sz w:val="18"/>
          <w:szCs w:val="18"/>
        </w:rPr>
      </w:pPr>
    </w:p>
    <w:p>
      <w:pPr>
        <w:autoSpaceDE w:val="0"/>
        <w:autoSpaceDN w:val="0"/>
        <w:adjustRightInd w:val="0"/>
        <w:jc w:val="left"/>
        <w:rPr>
          <w:rFonts w:eastAsia="黑体"/>
          <w:kern w:val="0"/>
          <w:sz w:val="18"/>
          <w:szCs w:val="18"/>
        </w:rPr>
      </w:pPr>
    </w:p>
    <w:p>
      <w:pPr>
        <w:autoSpaceDE w:val="0"/>
        <w:autoSpaceDN w:val="0"/>
        <w:adjustRightInd w:val="0"/>
        <w:jc w:val="left"/>
        <w:rPr>
          <w:rFonts w:eastAsia="黑体"/>
          <w:kern w:val="0"/>
          <w:sz w:val="18"/>
          <w:szCs w:val="18"/>
        </w:rPr>
      </w:pPr>
    </w:p>
    <w:p>
      <w:pPr>
        <w:autoSpaceDE w:val="0"/>
        <w:autoSpaceDN w:val="0"/>
        <w:adjustRightInd w:val="0"/>
        <w:jc w:val="left"/>
        <w:rPr>
          <w:rFonts w:eastAsia="黑体"/>
          <w:kern w:val="0"/>
          <w:sz w:val="18"/>
          <w:szCs w:val="18"/>
        </w:rPr>
      </w:pPr>
    </w:p>
    <w:p>
      <w:pPr>
        <w:autoSpaceDE w:val="0"/>
        <w:autoSpaceDN w:val="0"/>
        <w:adjustRightInd w:val="0"/>
        <w:jc w:val="left"/>
        <w:rPr>
          <w:rFonts w:eastAsia="黑体"/>
          <w:kern w:val="0"/>
          <w:sz w:val="18"/>
          <w:szCs w:val="18"/>
        </w:rPr>
      </w:pPr>
    </w:p>
    <w:p>
      <w:pPr>
        <w:autoSpaceDE w:val="0"/>
        <w:autoSpaceDN w:val="0"/>
        <w:adjustRightInd w:val="0"/>
        <w:jc w:val="left"/>
        <w:rPr>
          <w:rFonts w:eastAsia="黑体"/>
          <w:kern w:val="0"/>
          <w:sz w:val="18"/>
          <w:szCs w:val="18"/>
        </w:rPr>
      </w:pPr>
    </w:p>
    <w:p>
      <w:pPr>
        <w:autoSpaceDE w:val="0"/>
        <w:autoSpaceDN w:val="0"/>
        <w:adjustRightInd w:val="0"/>
        <w:jc w:val="left"/>
        <w:rPr>
          <w:rFonts w:eastAsia="黑体"/>
          <w:kern w:val="0"/>
          <w:sz w:val="18"/>
          <w:szCs w:val="18"/>
        </w:rPr>
      </w:pPr>
    </w:p>
    <w:p>
      <w:pPr>
        <w:autoSpaceDE w:val="0"/>
        <w:autoSpaceDN w:val="0"/>
        <w:adjustRightInd w:val="0"/>
        <w:jc w:val="left"/>
        <w:rPr>
          <w:rFonts w:eastAsia="黑体"/>
          <w:kern w:val="0"/>
          <w:sz w:val="18"/>
          <w:szCs w:val="18"/>
        </w:rPr>
      </w:pPr>
    </w:p>
    <w:p>
      <w:pPr>
        <w:autoSpaceDE w:val="0"/>
        <w:autoSpaceDN w:val="0"/>
        <w:adjustRightInd w:val="0"/>
        <w:jc w:val="left"/>
        <w:rPr>
          <w:rFonts w:eastAsia="黑体"/>
          <w:kern w:val="0"/>
          <w:sz w:val="18"/>
          <w:szCs w:val="18"/>
        </w:rPr>
      </w:pPr>
    </w:p>
    <w:p>
      <w:pPr>
        <w:autoSpaceDE w:val="0"/>
        <w:autoSpaceDN w:val="0"/>
        <w:adjustRightInd w:val="0"/>
        <w:jc w:val="left"/>
        <w:rPr>
          <w:rFonts w:eastAsia="黑体"/>
          <w:kern w:val="0"/>
          <w:sz w:val="18"/>
          <w:szCs w:val="18"/>
        </w:rPr>
      </w:pPr>
    </w:p>
    <w:p>
      <w:pPr>
        <w:autoSpaceDE w:val="0"/>
        <w:autoSpaceDN w:val="0"/>
        <w:adjustRightInd w:val="0"/>
        <w:jc w:val="left"/>
        <w:rPr>
          <w:rFonts w:eastAsia="黑体"/>
          <w:kern w:val="0"/>
          <w:sz w:val="18"/>
          <w:szCs w:val="18"/>
        </w:rPr>
      </w:pPr>
    </w:p>
    <w:p>
      <w:pPr>
        <w:autoSpaceDE w:val="0"/>
        <w:autoSpaceDN w:val="0"/>
        <w:adjustRightInd w:val="0"/>
        <w:jc w:val="left"/>
        <w:rPr>
          <w:rFonts w:eastAsia="黑体"/>
          <w:kern w:val="0"/>
          <w:sz w:val="18"/>
          <w:szCs w:val="18"/>
        </w:rPr>
      </w:pPr>
    </w:p>
    <w:p>
      <w:pPr>
        <w:autoSpaceDE w:val="0"/>
        <w:autoSpaceDN w:val="0"/>
        <w:adjustRightInd w:val="0"/>
        <w:jc w:val="left"/>
        <w:rPr>
          <w:rFonts w:eastAsia="黑体"/>
          <w:kern w:val="0"/>
          <w:sz w:val="18"/>
          <w:szCs w:val="18"/>
        </w:rPr>
      </w:pPr>
    </w:p>
    <w:p>
      <w:pPr>
        <w:autoSpaceDE w:val="0"/>
        <w:autoSpaceDN w:val="0"/>
        <w:adjustRightInd w:val="0"/>
        <w:jc w:val="left"/>
        <w:rPr>
          <w:rFonts w:eastAsia="黑体"/>
          <w:kern w:val="0"/>
          <w:sz w:val="18"/>
          <w:szCs w:val="18"/>
        </w:rPr>
      </w:pPr>
    </w:p>
    <w:p>
      <w:pPr>
        <w:autoSpaceDE w:val="0"/>
        <w:autoSpaceDN w:val="0"/>
        <w:adjustRightInd w:val="0"/>
        <w:jc w:val="left"/>
        <w:rPr>
          <w:rFonts w:eastAsia="黑体"/>
          <w:kern w:val="0"/>
          <w:sz w:val="18"/>
          <w:szCs w:val="18"/>
        </w:rPr>
      </w:pPr>
    </w:p>
    <w:p>
      <w:pPr>
        <w:autoSpaceDE w:val="0"/>
        <w:autoSpaceDN w:val="0"/>
        <w:adjustRightInd w:val="0"/>
        <w:jc w:val="left"/>
        <w:rPr>
          <w:rFonts w:eastAsia="黑体"/>
          <w:kern w:val="0"/>
          <w:sz w:val="18"/>
          <w:szCs w:val="18"/>
        </w:rPr>
      </w:pPr>
    </w:p>
    <w:p>
      <w:pPr>
        <w:autoSpaceDE w:val="0"/>
        <w:autoSpaceDN w:val="0"/>
        <w:adjustRightInd w:val="0"/>
        <w:jc w:val="left"/>
        <w:rPr>
          <w:rFonts w:eastAsia="黑体"/>
          <w:kern w:val="0"/>
          <w:sz w:val="18"/>
          <w:szCs w:val="18"/>
        </w:rPr>
      </w:pPr>
    </w:p>
    <w:p>
      <w:pPr>
        <w:autoSpaceDE w:val="0"/>
        <w:autoSpaceDN w:val="0"/>
        <w:adjustRightInd w:val="0"/>
        <w:jc w:val="left"/>
        <w:rPr>
          <w:rFonts w:eastAsia="黑体"/>
          <w:kern w:val="0"/>
          <w:sz w:val="18"/>
          <w:szCs w:val="18"/>
        </w:rPr>
      </w:pPr>
    </w:p>
    <w:p>
      <w:pPr>
        <w:autoSpaceDE w:val="0"/>
        <w:autoSpaceDN w:val="0"/>
        <w:adjustRightInd w:val="0"/>
        <w:jc w:val="left"/>
        <w:rPr>
          <w:rFonts w:eastAsia="黑体"/>
          <w:kern w:val="0"/>
          <w:sz w:val="18"/>
          <w:szCs w:val="18"/>
        </w:rPr>
      </w:pPr>
    </w:p>
    <w:p>
      <w:pPr>
        <w:autoSpaceDE w:val="0"/>
        <w:autoSpaceDN w:val="0"/>
        <w:adjustRightInd w:val="0"/>
        <w:jc w:val="left"/>
        <w:rPr>
          <w:rFonts w:eastAsia="黑体"/>
          <w:kern w:val="0"/>
          <w:sz w:val="18"/>
          <w:szCs w:val="18"/>
        </w:rPr>
      </w:pPr>
    </w:p>
    <w:p>
      <w:pPr>
        <w:autoSpaceDE w:val="0"/>
        <w:autoSpaceDN w:val="0"/>
        <w:adjustRightInd w:val="0"/>
        <w:jc w:val="left"/>
        <w:rPr>
          <w:rFonts w:eastAsia="黑体"/>
          <w:kern w:val="0"/>
          <w:sz w:val="18"/>
          <w:szCs w:val="18"/>
        </w:rPr>
      </w:pPr>
    </w:p>
    <w:p>
      <w:pPr>
        <w:autoSpaceDE w:val="0"/>
        <w:autoSpaceDN w:val="0"/>
        <w:adjustRightInd w:val="0"/>
        <w:jc w:val="left"/>
        <w:rPr>
          <w:rFonts w:eastAsia="黑体"/>
          <w:kern w:val="0"/>
          <w:sz w:val="18"/>
          <w:szCs w:val="18"/>
        </w:rPr>
      </w:pPr>
    </w:p>
    <w:p>
      <w:pPr>
        <w:autoSpaceDE w:val="0"/>
        <w:autoSpaceDN w:val="0"/>
        <w:adjustRightInd w:val="0"/>
        <w:jc w:val="left"/>
        <w:rPr>
          <w:rFonts w:eastAsia="黑体"/>
          <w:kern w:val="0"/>
          <w:sz w:val="18"/>
          <w:szCs w:val="18"/>
        </w:rPr>
      </w:pPr>
    </w:p>
    <w:p>
      <w:pPr>
        <w:autoSpaceDE w:val="0"/>
        <w:autoSpaceDN w:val="0"/>
        <w:adjustRightInd w:val="0"/>
        <w:rPr>
          <w:rFonts w:ascii="黑体" w:eastAsia="黑体"/>
          <w:sz w:val="28"/>
          <w:szCs w:val="28"/>
          <w:u w:val="single"/>
        </w:rPr>
      </w:pPr>
      <w:r>
        <w:rPr>
          <w:rFonts w:hint="eastAsia" w:ascii="黑体" w:eastAsia="黑体"/>
          <w:sz w:val="28"/>
          <w:szCs w:val="28"/>
          <w:u w:val="single"/>
        </w:rPr>
        <w:t xml:space="preserve">201X-XX-XX   </w:t>
      </w:r>
      <w:r>
        <w:rPr>
          <w:rFonts w:hint="eastAsia" w:ascii="黑体" w:eastAsia="黑体" w:cs="宋体"/>
          <w:sz w:val="28"/>
          <w:szCs w:val="28"/>
          <w:u w:val="single"/>
          <w:lang w:val="zh-CN"/>
        </w:rPr>
        <w:t>发布</w:t>
      </w:r>
      <w:r>
        <w:rPr>
          <w:rFonts w:hint="eastAsia" w:ascii="黑体" w:eastAsia="黑体"/>
          <w:sz w:val="28"/>
          <w:szCs w:val="28"/>
          <w:u w:val="single"/>
        </w:rPr>
        <w:t xml:space="preserve">                           201X-XX-XX   </w:t>
      </w:r>
      <w:r>
        <w:rPr>
          <w:rFonts w:hint="eastAsia" w:ascii="黑体" w:eastAsia="黑体" w:cs="宋体"/>
          <w:sz w:val="28"/>
          <w:szCs w:val="28"/>
          <w:u w:val="single"/>
          <w:lang w:val="zh-CN"/>
        </w:rPr>
        <w:t>实施</w:t>
      </w:r>
    </w:p>
    <w:p>
      <w:pPr>
        <w:autoSpaceDE w:val="0"/>
        <w:autoSpaceDN w:val="0"/>
        <w:adjustRightInd w:val="0"/>
        <w:jc w:val="center"/>
        <w:rPr>
          <w:rFonts w:ascii="黑体" w:eastAsia="黑体" w:cs="宋体"/>
          <w:sz w:val="44"/>
          <w:szCs w:val="44"/>
        </w:rPr>
        <w:sectPr>
          <w:headerReference r:id="rId5" w:type="first"/>
          <w:headerReference r:id="rId3" w:type="default"/>
          <w:footerReference r:id="rId6" w:type="default"/>
          <w:headerReference r:id="rId4" w:type="even"/>
          <w:footerReference r:id="rId7" w:type="even"/>
          <w:pgSz w:w="12240" w:h="15840"/>
          <w:pgMar w:top="1440" w:right="1797" w:bottom="1440" w:left="1797" w:header="720" w:footer="72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start="1"/>
          <w:cols w:space="720" w:num="1"/>
          <w:titlePg/>
        </w:sectPr>
      </w:pPr>
      <w:r>
        <w:rPr>
          <w:rFonts w:hint="eastAsia" w:asciiTheme="majorEastAsia" w:hAnsiTheme="majorEastAsia" w:eastAsiaTheme="majorEastAsia" w:cstheme="majorEastAsia"/>
          <w:sz w:val="44"/>
          <w:szCs w:val="44"/>
          <w:lang w:val="zh-CN"/>
        </w:rPr>
        <w:t>国家质量监督检验检疫总局</w:t>
      </w:r>
      <w:r>
        <w:rPr>
          <w:rFonts w:hint="eastAsia" w:ascii="黑体" w:eastAsia="黑体" w:cs="宋体"/>
          <w:sz w:val="28"/>
          <w:szCs w:val="28"/>
          <w:u w:val="none"/>
          <w:lang w:val="zh-CN"/>
        </w:rPr>
        <w:t>发布</w:t>
      </w:r>
    </w:p>
    <w:p>
      <w:pPr>
        <w:autoSpaceDE w:val="0"/>
        <w:autoSpaceDN w:val="0"/>
        <w:adjustRightInd w:val="0"/>
        <w:jc w:val="left"/>
        <w:rPr>
          <w:rFonts w:eastAsia="黑体"/>
          <w:kern w:val="0"/>
          <w:sz w:val="12"/>
          <w:szCs w:val="12"/>
        </w:rPr>
        <w:sectPr>
          <w:headerReference r:id="rId8" w:type="default"/>
          <w:footerReference r:id="rId10" w:type="default"/>
          <w:headerReference r:id="rId9" w:type="even"/>
          <w:footerReference r:id="rId11" w:type="even"/>
          <w:pgSz w:w="11906" w:h="16838"/>
          <w:pgMar w:top="1440" w:right="1134" w:bottom="1440" w:left="1134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upperRoman" w:start="1"/>
          <w:cols w:space="720" w:num="1"/>
          <w:docGrid w:type="lines" w:linePitch="312" w:charSpace="0"/>
        </w:sectPr>
      </w:pPr>
    </w:p>
    <w:p>
      <w:pPr>
        <w:autoSpaceDE w:val="0"/>
        <w:autoSpaceDN w:val="0"/>
        <w:adjustRightInd w:val="0"/>
        <w:jc w:val="left"/>
        <w:rPr>
          <w:rFonts w:eastAsia="黑体"/>
          <w:kern w:val="0"/>
          <w:sz w:val="20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-65405</wp:posOffset>
                </wp:positionH>
                <wp:positionV relativeFrom="paragraph">
                  <wp:posOffset>1579245</wp:posOffset>
                </wp:positionV>
                <wp:extent cx="5898515" cy="0"/>
                <wp:effectExtent l="0" t="0" r="0" b="0"/>
                <wp:wrapNone/>
                <wp:docPr id="25" name="直接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75690" y="2493645"/>
                          <a:ext cx="589851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5.15pt;margin-top:124.35pt;height:0pt;width:464.45pt;z-index:251660288;mso-width-relative:page;mso-height-relative:page;" filled="f" stroked="t" coordsize="21600,21600" o:gfxdata="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I/R8/rYAAAACwEAAA8AAAAAAAAAAQAgAAAAIgAAAGRy&#10;cy9kb3ducmV2LnhtbFBLAQIUABQAAAAIAIdO4kA4WHxpzAEAAFoDAAAOAAAAAAAAAAEAIAAAACcB&#10;AABkcnMvZTJvRG9jLnhtbFBLBQYAAAAABgAGAFkBAABlBQAAAAA=&#10;">
                <v:fill on="f" focussize="0,0"/>
                <v:stroke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eastAsia="黑体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3571875</wp:posOffset>
                </wp:positionH>
                <wp:positionV relativeFrom="paragraph">
                  <wp:posOffset>3810</wp:posOffset>
                </wp:positionV>
                <wp:extent cx="2160270" cy="1287780"/>
                <wp:effectExtent l="4445" t="4445" r="6985" b="22225"/>
                <wp:wrapNone/>
                <wp:docPr id="2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60270" cy="1287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 cmpd="sng">
                          <a:solidFill>
                            <a:srgbClr val="000000"/>
                          </a:solidFill>
                          <a:prstDash val="sysDot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/>
                          <w:p>
                            <w:pPr>
                              <w:jc w:val="center"/>
                              <w:rPr>
                                <w:rFonts w:ascii="黑体" w:hAnsi="黑体" w:eastAsia="黑体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b/>
                                <w:sz w:val="28"/>
                                <w:szCs w:val="28"/>
                              </w:rPr>
                              <w:t>JJF ××××</w:t>
                            </w:r>
                            <w:r>
                              <w:rPr>
                                <w:rFonts w:ascii="黑体" w:hAnsi="黑体" w:eastAsia="黑体" w:cs="黑体"/>
                                <w:kern w:val="0"/>
                                <w:sz w:val="28"/>
                                <w:szCs w:val="28"/>
                              </w:rPr>
                              <w:t>─</w:t>
                            </w:r>
                            <w:r>
                              <w:rPr>
                                <w:rFonts w:hint="eastAsia" w:ascii="黑体" w:hAnsi="黑体" w:eastAsia="黑体"/>
                                <w:b/>
                                <w:sz w:val="28"/>
                                <w:szCs w:val="28"/>
                              </w:rPr>
                              <w:t>××××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6" o:spid="_x0000_s1026" o:spt="202" type="#_x0000_t202" style="position:absolute;left:0pt;margin-left:281.25pt;margin-top:0.3pt;height:101.4pt;width:170.1pt;z-index:251653120;mso-width-relative:page;mso-height-relative:page;" fillcolor="#FFFFFF" filled="t" stroked="t" coordsize="21600,21600" o:gfxdata="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M5nrY7YAAAACAEAAA8AAAAAAAAAAQAgAAAAIgAAAGRycy9kb3ducmV2LnhtbFBL&#10;AQIUABQAAAAIAIdO4kA41KMH9gEAAOoDAAAOAAAAAAAAAAEAIAAAACcBAABkcnMvZTJvRG9jLnht&#10;bFBLBQYAAAAABgAGAFkBAACPBQAAAAA=&#10;">
                <v:fill on="t" focussize="0,0"/>
                <v:stroke color="#000000" joinstyle="miter" dashstyle="1 1" endcap="round"/>
                <v:imagedata o:title=""/>
                <o:lock v:ext="edit" aspectratio="f"/>
                <v:textbox>
                  <w:txbxContent>
                    <w:p/>
                    <w:p>
                      <w:pPr>
                        <w:jc w:val="center"/>
                        <w:rPr>
                          <w:rFonts w:ascii="黑体" w:hAnsi="黑体" w:eastAsia="黑体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/>
                          <w:b/>
                          <w:sz w:val="28"/>
                          <w:szCs w:val="28"/>
                        </w:rPr>
                        <w:t>JJF ××××</w:t>
                      </w:r>
                      <w:r>
                        <w:rPr>
                          <w:rFonts w:ascii="黑体" w:hAnsi="黑体" w:eastAsia="黑体" w:cs="黑体"/>
                          <w:kern w:val="0"/>
                          <w:sz w:val="28"/>
                          <w:szCs w:val="28"/>
                        </w:rPr>
                        <w:t>─</w:t>
                      </w:r>
                      <w:r>
                        <w:rPr>
                          <w:rFonts w:hint="eastAsia" w:ascii="黑体" w:hAnsi="黑体" w:eastAsia="黑体"/>
                          <w:b/>
                          <w:sz w:val="28"/>
                          <w:szCs w:val="28"/>
                        </w:rPr>
                        <w:t>××××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黑体"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-752475</wp:posOffset>
                </wp:positionH>
                <wp:positionV relativeFrom="paragraph">
                  <wp:posOffset>-50165</wp:posOffset>
                </wp:positionV>
                <wp:extent cx="4297680" cy="1580515"/>
                <wp:effectExtent l="0" t="0" r="7620" b="635"/>
                <wp:wrapNone/>
                <wp:docPr id="1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97680" cy="1580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黑体" w:eastAsia="黑体" w:cs="黑体"/>
                                <w:kern w:val="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 w:ascii="黑体" w:eastAsia="黑体" w:cs="黑体"/>
                                <w:kern w:val="0"/>
                                <w:sz w:val="44"/>
                                <w:szCs w:val="44"/>
                              </w:rPr>
                              <w:t xml:space="preserve"> 煤中氟/氯测定仪</w:t>
                            </w:r>
                          </w:p>
                          <w:p>
                            <w:pPr>
                              <w:jc w:val="center"/>
                              <w:rPr>
                                <w:rFonts w:eastAsia="黑体"/>
                                <w:kern w:val="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eastAsia" w:ascii="黑体" w:eastAsia="黑体" w:cs="黑体"/>
                                <w:kern w:val="0"/>
                                <w:sz w:val="44"/>
                                <w:szCs w:val="44"/>
                              </w:rPr>
                              <w:t>校准规范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黑体" w:eastAsia="黑体"/>
                                <w:color w:val="auto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auto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黑体" w:eastAsia="黑体"/>
                                <w:color w:val="auto"/>
                                <w:sz w:val="28"/>
                                <w:szCs w:val="28"/>
                              </w:rPr>
                              <w:t>Calibration Specification for Fluorine</w:t>
                            </w:r>
                          </w:p>
                          <w:p>
                            <w:pPr>
                              <w:jc w:val="center"/>
                              <w:rPr>
                                <w:rFonts w:eastAsia="黑体"/>
                                <w:color w:val="auto"/>
                                <w:kern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eastAsia="黑体"/>
                                <w:color w:val="auto"/>
                                <w:sz w:val="28"/>
                                <w:szCs w:val="28"/>
                              </w:rPr>
                              <w:t>/Chlorine determinators in Coal</w:t>
                            </w:r>
                          </w:p>
                          <w:p>
                            <w:pPr>
                              <w:rPr>
                                <w:rFonts w:eastAsia="黑体"/>
                                <w:spacing w:val="20"/>
                                <w:sz w:val="28"/>
                                <w:szCs w:val="28"/>
                              </w:rPr>
                            </w:pP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spacing w:val="20"/>
                                <w:sz w:val="28"/>
                                <w:szCs w:val="28"/>
                              </w:rPr>
                            </w:pP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spacing w:val="20"/>
                                <w:sz w:val="28"/>
                                <w:szCs w:val="28"/>
                              </w:rPr>
                            </w:pP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spacing w:val="20"/>
                                <w:sz w:val="28"/>
                                <w:szCs w:val="28"/>
                              </w:rPr>
                            </w:pP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eastAsia="黑体"/>
                                <w:kern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pacing w:val="20"/>
                                <w:sz w:val="28"/>
                                <w:szCs w:val="28"/>
                              </w:rPr>
                              <w:t>Of Measuring Inside Dimension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eastAsia="黑体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5" o:spid="_x0000_s1026" o:spt="202" type="#_x0000_t202" style="position:absolute;left:0pt;margin-left:-59.25pt;margin-top:-3.95pt;height:124.45pt;width:338.4pt;z-index:251652096;mso-width-relative:page;mso-height-relative:page;" fillcolor="#FFFFFF" filled="t" stroked="f" coordsize="21600,21600" o:gfxdata="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CSgMMF&#10;2QAAAAsBAAAPAAAAAAAAAAEAIAAAACIAAABkcnMvZG93bnJldi54bWxQSwECFAAUAAAACACHTuJA&#10;iEZEya4BAAA0AwAADgAAAAAAAAABACAAAAAoAQAAZHJzL2Uyb0RvYy54bWxQSwUGAAAAAAYABgBZ&#10;AQAASA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黑体" w:eastAsia="黑体" w:cs="黑体"/>
                          <w:kern w:val="0"/>
                          <w:sz w:val="44"/>
                          <w:szCs w:val="44"/>
                        </w:rPr>
                      </w:pPr>
                      <w:r>
                        <w:rPr>
                          <w:rFonts w:hint="eastAsia" w:ascii="黑体" w:eastAsia="黑体" w:cs="黑体"/>
                          <w:kern w:val="0"/>
                          <w:sz w:val="44"/>
                          <w:szCs w:val="44"/>
                        </w:rPr>
                        <w:t xml:space="preserve"> 煤中氟/氯测定仪</w:t>
                      </w:r>
                    </w:p>
                    <w:p>
                      <w:pPr>
                        <w:jc w:val="center"/>
                        <w:rPr>
                          <w:rFonts w:eastAsia="黑体"/>
                          <w:kern w:val="0"/>
                          <w:sz w:val="44"/>
                          <w:szCs w:val="44"/>
                        </w:rPr>
                      </w:pPr>
                      <w:r>
                        <w:rPr>
                          <w:rFonts w:hint="eastAsia" w:ascii="黑体" w:eastAsia="黑体" w:cs="黑体"/>
                          <w:kern w:val="0"/>
                          <w:sz w:val="44"/>
                          <w:szCs w:val="44"/>
                        </w:rPr>
                        <w:t>校准规范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黑体" w:eastAsia="黑体"/>
                          <w:color w:val="auto"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  <w:bCs/>
                          <w:color w:val="auto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hint="eastAsia" w:ascii="黑体" w:eastAsia="黑体"/>
                          <w:color w:val="auto"/>
                          <w:sz w:val="28"/>
                          <w:szCs w:val="28"/>
                        </w:rPr>
                        <w:t>Calibration Specification for Fluorine</w:t>
                      </w:r>
                    </w:p>
                    <w:p>
                      <w:pPr>
                        <w:jc w:val="center"/>
                        <w:rPr>
                          <w:rFonts w:eastAsia="黑体"/>
                          <w:color w:val="auto"/>
                          <w:kern w:val="0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eastAsia="黑体"/>
                          <w:color w:val="auto"/>
                          <w:sz w:val="28"/>
                          <w:szCs w:val="28"/>
                        </w:rPr>
                        <w:t>/Chlorine determinators in Coal</w:t>
                      </w:r>
                    </w:p>
                    <w:p>
                      <w:pPr>
                        <w:rPr>
                          <w:rFonts w:eastAsia="黑体"/>
                          <w:spacing w:val="20"/>
                          <w:sz w:val="28"/>
                          <w:szCs w:val="28"/>
                        </w:rPr>
                      </w:pPr>
                    </w:p>
                    <w:p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spacing w:val="20"/>
                          <w:sz w:val="28"/>
                          <w:szCs w:val="28"/>
                        </w:rPr>
                      </w:pPr>
                    </w:p>
                    <w:p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spacing w:val="20"/>
                          <w:sz w:val="28"/>
                          <w:szCs w:val="28"/>
                        </w:rPr>
                      </w:pPr>
                    </w:p>
                    <w:p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spacing w:val="20"/>
                          <w:sz w:val="28"/>
                          <w:szCs w:val="28"/>
                        </w:rPr>
                      </w:pPr>
                    </w:p>
                    <w:p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eastAsia="黑体"/>
                          <w:kern w:val="0"/>
                          <w:sz w:val="28"/>
                          <w:szCs w:val="28"/>
                        </w:rPr>
                      </w:pPr>
                      <w:r>
                        <w:rPr>
                          <w:spacing w:val="20"/>
                          <w:sz w:val="28"/>
                          <w:szCs w:val="28"/>
                        </w:rPr>
                        <w:t>Of Measuring Inside Dimension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eastAsia="黑体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eastAsia="黑体"/>
          <w:kern w:val="0"/>
          <w:sz w:val="28"/>
          <w:szCs w:val="28"/>
        </w:rPr>
        <w:t xml:space="preserve"> </w:t>
      </w:r>
      <w:r>
        <w:rPr>
          <w:rFonts w:eastAsia="黑体"/>
          <w:kern w:val="0"/>
          <w:sz w:val="28"/>
          <w:szCs w:val="28"/>
        </w:rPr>
        <mc:AlternateContent>
          <mc:Choice Requires="wpg">
            <w:drawing>
              <wp:inline distT="0" distB="0" distL="114300" distR="114300">
                <wp:extent cx="2514600" cy="1485900"/>
                <wp:effectExtent l="0" t="0" r="0" b="0"/>
                <wp:docPr id="9" name="组合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14600" cy="1485900"/>
                          <a:chOff x="0" y="0"/>
                          <a:chExt cx="2514600" cy="1485900"/>
                        </a:xfrm>
                      </wpg:grpSpPr>
                      <wps:wsp>
                        <wps:cNvPr id="8" name="图片 18"/>
                        <wps:cNvSpPr>
                          <a:spLocks noChangeAspect="1" noTextEdit="1"/>
                        </wps:cNvSpPr>
                        <wps:spPr>
                          <a:xfrm>
                            <a:off x="0" y="0"/>
                            <a:ext cx="3960" cy="2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17" o:spid="_x0000_s1026" o:spt="203" style="height:117pt;width:198pt;" coordsize="2514600,1485900" o:gfxdata="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TdW7/1QAAAAUBAAAPAAAAAAAAAAEAIAAAACIAAABkcnMvZG93&#10;bnJldi54bWxQSwECFAAUAAAACACHTuJA3u1hBwMCAABaBAAADgAAAAAAAAABACAAAAAkAQAAZHJz&#10;L2Uyb0RvYy54bWxQSwUGAAAAAAYABgBZAQAAmQUAAAAA&#10;">
                <o:lock v:ext="edit" aspectratio="f"/>
                <v:rect id="图片 18" o:spid="_x0000_s1026" o:spt="1" style="position:absolute;left:0;top:0;height:2340;width:3960;" filled="f" stroked="f" coordsize="21600,21600" o:gfxdata="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0CgNC5AAAA2g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text="t" aspectratio="t"/>
                </v:rect>
                <w10:wrap type="none"/>
                <w10:anchorlock/>
              </v:group>
            </w:pict>
          </mc:Fallback>
        </mc:AlternateContent>
      </w:r>
      <w:r>
        <w:rPr>
          <w:rFonts w:eastAsia="黑体"/>
          <w:kern w:val="0"/>
          <w:sz w:val="20"/>
        </w:rPr>
        <w:t xml:space="preserve">    </w:t>
      </w:r>
    </w:p>
    <w:p>
      <w:pPr>
        <w:autoSpaceDE w:val="0"/>
        <w:autoSpaceDN w:val="0"/>
        <w:adjustRightInd w:val="0"/>
        <w:jc w:val="left"/>
        <w:rPr>
          <w:kern w:val="0"/>
          <w:sz w:val="28"/>
          <w:szCs w:val="28"/>
        </w:rPr>
      </w:pPr>
      <w:r>
        <w:rPr>
          <w:rFonts w:eastAsia="黑体"/>
          <w:kern w:val="0"/>
          <w:sz w:val="20"/>
        </w:rPr>
        <mc:AlternateContent>
          <mc:Choice Requires="wpg">
            <w:drawing>
              <wp:inline distT="0" distB="0" distL="114300" distR="114300">
                <wp:extent cx="5760720" cy="298450"/>
                <wp:effectExtent l="0" t="0" r="0" b="0"/>
                <wp:docPr id="12" name="组合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0720" cy="298450"/>
                          <a:chOff x="0" y="0"/>
                          <a:chExt cx="5760720" cy="298450"/>
                        </a:xfrm>
                      </wpg:grpSpPr>
                      <wps:wsp>
                        <wps:cNvPr id="10" name="图片 21"/>
                        <wps:cNvSpPr>
                          <a:spLocks noChangeAspect="1" noTextEdit="1"/>
                        </wps:cNvSpPr>
                        <wps:spPr>
                          <a:xfrm>
                            <a:off x="0" y="0"/>
                            <a:ext cx="7200" cy="2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bodyPr upright="1"/>
                      </wps:wsp>
                      <wps:wsp>
                        <wps:cNvPr id="11" name="直线 22"/>
                        <wps:cNvCnPr/>
                        <wps:spPr>
                          <a:xfrm>
                            <a:off x="0" y="136"/>
                            <a:ext cx="7200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20" o:spid="_x0000_s1026" o:spt="203" style="height:23.5pt;width:453.6pt;" coordsize="5760720,298450" o:gfxdata="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e7rTidYAAAAEAQAA&#10;DwAAAAAAAAABACAAAAAiAAAAZHJzL2Rvd25yZXYueG1sUEsBAhQAFAAAAAgAh07iQALUWpONAgAA&#10;VwYAAA4AAAAAAAAAAQAgAAAAJQEAAGRycy9lMm9Eb2MueG1sUEsFBgAAAAAGAAYAWQEAACQGAAAA&#10;AA==&#10;">
                <o:lock v:ext="edit" aspectratio="f"/>
                <v:rect id="图片 21" o:spid="_x0000_s1026" o:spt="1" style="position:absolute;left:0;top:0;height:272;width:7200;" filled="f" stroked="f" coordsize="21600,21600" o:gfxdata="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P6QQ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text="t" aspectratio="t"/>
                </v:rect>
                <v:line id="直线 22" o:spid="_x0000_s1026" o:spt="20" style="position:absolute;left:0;top:136;height:1;width:7200;" filled="f" stroked="t" coordsize="21600,21600" o:gfxdata="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IcHUz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eastAsia="黑体"/>
          <w:kern w:val="0"/>
          <w:sz w:val="28"/>
          <w:szCs w:val="28"/>
        </w:rPr>
      </w:pPr>
    </w:p>
    <w:p>
      <w:pPr>
        <w:autoSpaceDE w:val="0"/>
        <w:autoSpaceDN w:val="0"/>
        <w:adjustRightInd w:val="0"/>
        <w:ind w:firstLine="560" w:firstLineChars="200"/>
        <w:jc w:val="left"/>
        <w:rPr>
          <w:rFonts w:eastAsia="黑体"/>
          <w:kern w:val="0"/>
          <w:sz w:val="28"/>
          <w:szCs w:val="28"/>
        </w:rPr>
      </w:pPr>
    </w:p>
    <w:p>
      <w:pPr>
        <w:autoSpaceDE w:val="0"/>
        <w:autoSpaceDN w:val="0"/>
        <w:adjustRightInd w:val="0"/>
        <w:ind w:firstLine="560" w:firstLineChars="200"/>
        <w:jc w:val="left"/>
        <w:rPr>
          <w:rFonts w:eastAsia="黑体"/>
          <w:kern w:val="0"/>
          <w:sz w:val="28"/>
          <w:szCs w:val="28"/>
        </w:rPr>
      </w:pPr>
    </w:p>
    <w:p>
      <w:pPr>
        <w:autoSpaceDE w:val="0"/>
        <w:autoSpaceDN w:val="0"/>
        <w:adjustRightInd w:val="0"/>
        <w:ind w:firstLine="560" w:firstLineChars="200"/>
        <w:jc w:val="left"/>
        <w:rPr>
          <w:rFonts w:eastAsia="黑体"/>
          <w:kern w:val="0"/>
          <w:sz w:val="28"/>
          <w:szCs w:val="28"/>
        </w:rPr>
      </w:pPr>
    </w:p>
    <w:p>
      <w:pPr>
        <w:autoSpaceDE w:val="0"/>
        <w:autoSpaceDN w:val="0"/>
        <w:adjustRightInd w:val="0"/>
        <w:ind w:firstLine="840" w:firstLineChars="300"/>
        <w:jc w:val="left"/>
        <w:rPr>
          <w:rFonts w:eastAsia="黑体"/>
          <w:kern w:val="0"/>
          <w:sz w:val="28"/>
          <w:szCs w:val="28"/>
        </w:rPr>
      </w:pPr>
      <w:r>
        <w:rPr>
          <w:rFonts w:eastAsia="黑体"/>
          <w:kern w:val="0"/>
          <w:sz w:val="28"/>
          <w:szCs w:val="28"/>
        </w:rPr>
        <w:t>归  口 单 位：</w:t>
      </w:r>
      <w:r>
        <w:rPr>
          <w:rFonts w:eastAsia="黑体"/>
          <w:sz w:val="28"/>
        </w:rPr>
        <w:t>全国新材料与纳米计量技术委员会</w:t>
      </w:r>
    </w:p>
    <w:p>
      <w:pPr>
        <w:autoSpaceDE w:val="0"/>
        <w:autoSpaceDN w:val="0"/>
        <w:adjustRightInd w:val="0"/>
        <w:ind w:firstLine="840" w:firstLineChars="300"/>
        <w:jc w:val="left"/>
        <w:rPr>
          <w:rFonts w:eastAsia="黑体"/>
          <w:kern w:val="0"/>
          <w:sz w:val="28"/>
          <w:szCs w:val="28"/>
        </w:rPr>
      </w:pPr>
      <w:r>
        <w:rPr>
          <w:rFonts w:eastAsia="黑体"/>
          <w:kern w:val="0"/>
          <w:sz w:val="28"/>
          <w:szCs w:val="28"/>
        </w:rPr>
        <w:t>主要起草单位：</w:t>
      </w:r>
      <w:r>
        <w:rPr>
          <w:rFonts w:hint="eastAsia" w:eastAsia="黑体"/>
          <w:kern w:val="0"/>
          <w:sz w:val="28"/>
          <w:szCs w:val="28"/>
        </w:rPr>
        <w:t>湖南省计量检测</w:t>
      </w:r>
      <w:r>
        <w:rPr>
          <w:rFonts w:eastAsia="黑体"/>
          <w:kern w:val="0"/>
          <w:sz w:val="28"/>
          <w:szCs w:val="28"/>
        </w:rPr>
        <w:t>研究院</w:t>
      </w:r>
    </w:p>
    <w:p>
      <w:pPr>
        <w:autoSpaceDE w:val="0"/>
        <w:autoSpaceDN w:val="0"/>
        <w:adjustRightInd w:val="0"/>
        <w:ind w:firstLine="840" w:firstLineChars="300"/>
        <w:jc w:val="left"/>
        <w:rPr>
          <w:rFonts w:eastAsia="黑体"/>
          <w:sz w:val="28"/>
        </w:rPr>
      </w:pPr>
      <w:r>
        <w:rPr>
          <w:rFonts w:hint="eastAsia" w:eastAsia="黑体"/>
          <w:sz w:val="28"/>
        </w:rPr>
        <w:t>参加起草单位：</w:t>
      </w:r>
      <w:r>
        <w:rPr>
          <w:rFonts w:hint="eastAsia" w:eastAsia="黑体"/>
          <w:kern w:val="0"/>
          <w:sz w:val="28"/>
          <w:szCs w:val="28"/>
        </w:rPr>
        <w:t>中国计量科学</w:t>
      </w:r>
      <w:r>
        <w:rPr>
          <w:rFonts w:eastAsia="黑体"/>
          <w:kern w:val="0"/>
          <w:sz w:val="28"/>
          <w:szCs w:val="28"/>
        </w:rPr>
        <w:t>研究院</w:t>
      </w:r>
    </w:p>
    <w:p>
      <w:pPr>
        <w:autoSpaceDE w:val="0"/>
        <w:autoSpaceDN w:val="0"/>
        <w:adjustRightInd w:val="0"/>
        <w:ind w:firstLine="2800" w:firstLineChars="1000"/>
        <w:jc w:val="left"/>
        <w:rPr>
          <w:rFonts w:eastAsia="黑体"/>
          <w:sz w:val="28"/>
        </w:rPr>
      </w:pPr>
      <w:r>
        <w:rPr>
          <w:rFonts w:hint="eastAsia" w:eastAsia="黑体"/>
          <w:sz w:val="28"/>
        </w:rPr>
        <w:t>长沙开元仪器有限公司</w:t>
      </w:r>
    </w:p>
    <w:p>
      <w:pPr>
        <w:autoSpaceDE w:val="0"/>
        <w:autoSpaceDN w:val="0"/>
        <w:adjustRightInd w:val="0"/>
        <w:ind w:firstLine="840" w:firstLineChars="300"/>
        <w:jc w:val="left"/>
        <w:rPr>
          <w:rFonts w:eastAsia="黑体"/>
          <w:sz w:val="28"/>
        </w:rPr>
      </w:pPr>
      <w:r>
        <w:rPr>
          <w:rFonts w:hint="eastAsia" w:eastAsia="黑体"/>
          <w:sz w:val="28"/>
        </w:rPr>
        <w:t xml:space="preserve">              长沙理工大学</w:t>
      </w:r>
    </w:p>
    <w:p>
      <w:pPr>
        <w:autoSpaceDE w:val="0"/>
        <w:autoSpaceDN w:val="0"/>
        <w:adjustRightInd w:val="0"/>
        <w:jc w:val="center"/>
        <w:rPr>
          <w:kern w:val="0"/>
          <w:sz w:val="28"/>
          <w:szCs w:val="28"/>
        </w:rPr>
      </w:pPr>
    </w:p>
    <w:p>
      <w:pPr>
        <w:autoSpaceDE w:val="0"/>
        <w:autoSpaceDN w:val="0"/>
        <w:adjustRightInd w:val="0"/>
        <w:jc w:val="center"/>
        <w:rPr>
          <w:kern w:val="0"/>
          <w:sz w:val="28"/>
          <w:szCs w:val="28"/>
        </w:rPr>
      </w:pPr>
    </w:p>
    <w:p>
      <w:pPr>
        <w:autoSpaceDE w:val="0"/>
        <w:autoSpaceDN w:val="0"/>
        <w:adjustRightInd w:val="0"/>
        <w:jc w:val="center"/>
        <w:rPr>
          <w:kern w:val="0"/>
          <w:sz w:val="28"/>
          <w:szCs w:val="28"/>
        </w:rPr>
      </w:pPr>
    </w:p>
    <w:p>
      <w:pPr>
        <w:autoSpaceDE w:val="0"/>
        <w:autoSpaceDN w:val="0"/>
        <w:adjustRightInd w:val="0"/>
        <w:jc w:val="center"/>
        <w:rPr>
          <w:kern w:val="0"/>
          <w:sz w:val="28"/>
          <w:szCs w:val="28"/>
        </w:rPr>
      </w:pPr>
    </w:p>
    <w:p>
      <w:pPr>
        <w:autoSpaceDE w:val="0"/>
        <w:autoSpaceDN w:val="0"/>
        <w:adjustRightInd w:val="0"/>
        <w:jc w:val="center"/>
        <w:rPr>
          <w:kern w:val="0"/>
          <w:sz w:val="28"/>
          <w:szCs w:val="28"/>
        </w:rPr>
      </w:pPr>
    </w:p>
    <w:p>
      <w:pPr>
        <w:autoSpaceDE w:val="0"/>
        <w:autoSpaceDN w:val="0"/>
        <w:adjustRightInd w:val="0"/>
        <w:jc w:val="center"/>
        <w:rPr>
          <w:kern w:val="0"/>
          <w:sz w:val="28"/>
          <w:szCs w:val="28"/>
        </w:rPr>
      </w:pPr>
    </w:p>
    <w:p>
      <w:pPr>
        <w:autoSpaceDE w:val="0"/>
        <w:autoSpaceDN w:val="0"/>
        <w:adjustRightInd w:val="0"/>
        <w:jc w:val="center"/>
        <w:rPr>
          <w:kern w:val="0"/>
          <w:sz w:val="28"/>
          <w:szCs w:val="28"/>
        </w:rPr>
      </w:pPr>
    </w:p>
    <w:p>
      <w:pPr>
        <w:autoSpaceDE w:val="0"/>
        <w:autoSpaceDN w:val="0"/>
        <w:adjustRightInd w:val="0"/>
        <w:jc w:val="center"/>
        <w:rPr>
          <w:rFonts w:eastAsia="黑体"/>
          <w:kern w:val="0"/>
          <w:sz w:val="10"/>
          <w:szCs w:val="10"/>
        </w:rPr>
      </w:pPr>
      <w:r>
        <w:rPr>
          <w:kern w:val="0"/>
          <w:sz w:val="28"/>
          <w:szCs w:val="28"/>
        </w:rPr>
        <w:t>本规范委托</w:t>
      </w:r>
      <w:r>
        <w:rPr>
          <w:sz w:val="28"/>
        </w:rPr>
        <w:t>全国新材料与纳米</w:t>
      </w:r>
      <w:r>
        <w:rPr>
          <w:kern w:val="0"/>
          <w:sz w:val="28"/>
          <w:szCs w:val="28"/>
        </w:rPr>
        <w:t>计量技</w:t>
      </w:r>
      <w:r>
        <w:rPr>
          <w:sz w:val="28"/>
        </w:rPr>
        <w:t>术委员会</w:t>
      </w:r>
      <w:r>
        <w:rPr>
          <w:kern w:val="0"/>
          <w:sz w:val="28"/>
          <w:szCs w:val="28"/>
        </w:rPr>
        <w:t>负责解释</w:t>
      </w:r>
    </w:p>
    <w:p>
      <w:pPr>
        <w:spacing w:line="680" w:lineRule="exact"/>
        <w:rPr>
          <w:b/>
          <w:sz w:val="28"/>
        </w:rPr>
        <w:sectPr>
          <w:headerReference r:id="rId13" w:type="first"/>
          <w:headerReference r:id="rId12" w:type="default"/>
          <w:footerReference r:id="rId14" w:type="default"/>
          <w:pgSz w:w="11906" w:h="16838"/>
          <w:pgMar w:top="1440" w:right="1046" w:bottom="1440" w:left="179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upperRoman"/>
          <w:cols w:space="720" w:num="1"/>
          <w:docGrid w:type="linesAndChars" w:linePitch="312" w:charSpace="0"/>
        </w:sectPr>
      </w:pPr>
    </w:p>
    <w:p>
      <w:pPr>
        <w:spacing w:line="680" w:lineRule="exact"/>
        <w:rPr>
          <w:b/>
          <w:sz w:val="28"/>
        </w:rPr>
      </w:pPr>
    </w:p>
    <w:p>
      <w:pPr>
        <w:spacing w:line="360" w:lineRule="auto"/>
        <w:ind w:firstLine="1260" w:firstLineChars="450"/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sz w:val="28"/>
        </w:rPr>
        <w:t>本规范主要起草人：胡彪(</w:t>
      </w:r>
      <w:r>
        <w:rPr>
          <w:rFonts w:hint="eastAsia" w:ascii="黑体" w:hAnsi="黑体" w:eastAsia="黑体" w:cs="黑体"/>
          <w:kern w:val="0"/>
          <w:sz w:val="28"/>
          <w:szCs w:val="28"/>
        </w:rPr>
        <w:t>湖南省计量检测研究院</w:t>
      </w:r>
      <w:r>
        <w:rPr>
          <w:rFonts w:hint="eastAsia" w:ascii="黑体" w:hAnsi="黑体" w:eastAsia="黑体" w:cs="黑体"/>
          <w:sz w:val="28"/>
        </w:rPr>
        <w:t>)</w:t>
      </w:r>
    </w:p>
    <w:p>
      <w:pPr>
        <w:spacing w:line="360" w:lineRule="auto"/>
        <w:ind w:firstLine="1260" w:firstLineChars="450"/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sz w:val="28"/>
        </w:rPr>
        <w:t xml:space="preserve">                  张遥奇(</w:t>
      </w:r>
      <w:r>
        <w:rPr>
          <w:rFonts w:hint="eastAsia" w:ascii="黑体" w:hAnsi="黑体" w:eastAsia="黑体" w:cs="黑体"/>
          <w:kern w:val="0"/>
          <w:sz w:val="28"/>
          <w:szCs w:val="28"/>
        </w:rPr>
        <w:t>湖南省计量检测研究院</w:t>
      </w:r>
      <w:r>
        <w:rPr>
          <w:rFonts w:hint="eastAsia" w:ascii="黑体" w:hAnsi="黑体" w:eastAsia="黑体" w:cs="黑体"/>
          <w:sz w:val="28"/>
        </w:rPr>
        <w:t>)</w:t>
      </w:r>
    </w:p>
    <w:p>
      <w:pPr>
        <w:spacing w:line="360" w:lineRule="auto"/>
        <w:ind w:firstLine="1260" w:firstLineChars="450"/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sz w:val="28"/>
        </w:rPr>
        <w:t xml:space="preserve">                  莫晓山(</w:t>
      </w:r>
      <w:r>
        <w:rPr>
          <w:rFonts w:hint="eastAsia" w:ascii="黑体" w:hAnsi="黑体" w:eastAsia="黑体" w:cs="黑体"/>
          <w:kern w:val="0"/>
          <w:sz w:val="28"/>
          <w:szCs w:val="28"/>
        </w:rPr>
        <w:t>湖南省计量检测研究院</w:t>
      </w:r>
      <w:r>
        <w:rPr>
          <w:rFonts w:hint="eastAsia" w:ascii="黑体" w:hAnsi="黑体" w:eastAsia="黑体" w:cs="黑体"/>
          <w:sz w:val="28"/>
        </w:rPr>
        <w:t>)</w:t>
      </w:r>
    </w:p>
    <w:p>
      <w:pPr>
        <w:spacing w:line="360" w:lineRule="auto"/>
        <w:ind w:firstLine="2100" w:firstLineChars="750"/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sz w:val="28"/>
        </w:rPr>
        <w:t>参加起草人：王海峰(</w:t>
      </w:r>
      <w:r>
        <w:rPr>
          <w:rFonts w:hint="eastAsia" w:ascii="黑体" w:hAnsi="黑体" w:eastAsia="黑体" w:cs="黑体"/>
          <w:kern w:val="0"/>
          <w:sz w:val="28"/>
          <w:szCs w:val="28"/>
        </w:rPr>
        <w:t>中国计量科学研究院</w:t>
      </w:r>
      <w:r>
        <w:rPr>
          <w:rFonts w:hint="eastAsia" w:ascii="黑体" w:hAnsi="黑体" w:eastAsia="黑体" w:cs="黑体"/>
          <w:sz w:val="28"/>
        </w:rPr>
        <w:t>)</w:t>
      </w:r>
    </w:p>
    <w:p>
      <w:pPr>
        <w:autoSpaceDE w:val="0"/>
        <w:autoSpaceDN w:val="0"/>
        <w:adjustRightInd w:val="0"/>
        <w:ind w:firstLine="2800" w:firstLineChars="1000"/>
        <w:jc w:val="left"/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sz w:val="28"/>
        </w:rPr>
        <w:t xml:space="preserve">       刘晓川(长沙开元仪器有限公司)</w:t>
      </w:r>
    </w:p>
    <w:p>
      <w:pPr>
        <w:spacing w:line="360" w:lineRule="auto"/>
        <w:ind w:firstLine="2100" w:firstLineChars="750"/>
        <w:rPr>
          <w:rFonts w:hint="eastAsia" w:ascii="黑体" w:hAnsi="黑体" w:eastAsia="黑体" w:cs="黑体"/>
          <w:sz w:val="28"/>
        </w:rPr>
      </w:pPr>
      <w:r>
        <w:rPr>
          <w:rFonts w:hint="eastAsia" w:ascii="黑体" w:hAnsi="黑体" w:eastAsia="黑体" w:cs="黑体"/>
          <w:sz w:val="28"/>
        </w:rPr>
        <w:t xml:space="preserve">            汪红梅(长沙理工大学)</w:t>
      </w:r>
    </w:p>
    <w:p>
      <w:pPr>
        <w:spacing w:line="520" w:lineRule="exact"/>
        <w:jc w:val="center"/>
        <w:rPr>
          <w:sz w:val="28"/>
        </w:rPr>
      </w:pPr>
    </w:p>
    <w:p>
      <w:pPr>
        <w:spacing w:line="520" w:lineRule="exact"/>
        <w:jc w:val="center"/>
        <w:rPr>
          <w:rFonts w:eastAsia="黑体"/>
          <w:b/>
          <w:sz w:val="44"/>
        </w:rPr>
      </w:pPr>
    </w:p>
    <w:p>
      <w:pPr>
        <w:spacing w:line="520" w:lineRule="exact"/>
        <w:jc w:val="center"/>
        <w:rPr>
          <w:rFonts w:eastAsia="黑体"/>
          <w:b/>
          <w:sz w:val="44"/>
        </w:rPr>
      </w:pPr>
    </w:p>
    <w:p>
      <w:pPr>
        <w:spacing w:line="520" w:lineRule="exact"/>
        <w:jc w:val="center"/>
        <w:rPr>
          <w:rFonts w:eastAsia="黑体"/>
          <w:b/>
          <w:sz w:val="44"/>
        </w:rPr>
      </w:pPr>
    </w:p>
    <w:p>
      <w:pPr>
        <w:spacing w:line="520" w:lineRule="exact"/>
        <w:jc w:val="center"/>
        <w:rPr>
          <w:rFonts w:eastAsia="黑体"/>
          <w:b/>
          <w:sz w:val="44"/>
        </w:rPr>
      </w:pPr>
    </w:p>
    <w:p>
      <w:pPr>
        <w:spacing w:line="520" w:lineRule="exact"/>
        <w:jc w:val="center"/>
        <w:rPr>
          <w:rFonts w:eastAsia="黑体"/>
          <w:b/>
          <w:sz w:val="44"/>
        </w:rPr>
      </w:pPr>
    </w:p>
    <w:p>
      <w:pPr>
        <w:spacing w:line="520" w:lineRule="exact"/>
        <w:jc w:val="center"/>
        <w:rPr>
          <w:rFonts w:eastAsia="黑体"/>
          <w:b/>
          <w:sz w:val="44"/>
        </w:rPr>
      </w:pPr>
    </w:p>
    <w:p>
      <w:pPr>
        <w:spacing w:line="520" w:lineRule="exact"/>
        <w:rPr>
          <w:rFonts w:eastAsia="黑体"/>
          <w:b/>
          <w:sz w:val="44"/>
        </w:rPr>
      </w:pPr>
    </w:p>
    <w:p>
      <w:pPr>
        <w:spacing w:line="520" w:lineRule="exact"/>
        <w:jc w:val="center"/>
        <w:rPr>
          <w:kern w:val="0"/>
          <w:sz w:val="24"/>
          <w:szCs w:val="24"/>
        </w:rPr>
      </w:pPr>
    </w:p>
    <w:p>
      <w:pPr>
        <w:spacing w:line="520" w:lineRule="exact"/>
        <w:jc w:val="center"/>
        <w:rPr>
          <w:kern w:val="0"/>
          <w:sz w:val="24"/>
          <w:szCs w:val="24"/>
        </w:rPr>
        <w:sectPr>
          <w:footerReference r:id="rId15" w:type="default"/>
          <w:pgSz w:w="11906" w:h="16838"/>
          <w:pgMar w:top="1440" w:right="1046" w:bottom="1440" w:left="179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upperRoman"/>
          <w:cols w:space="720" w:num="1"/>
          <w:docGrid w:type="linesAndChars" w:linePitch="312" w:charSpace="0"/>
        </w:sectPr>
      </w:pPr>
    </w:p>
    <w:p>
      <w:pPr>
        <w:spacing w:line="540" w:lineRule="atLeast"/>
        <w:rPr>
          <w:rFonts w:eastAsia="黑体"/>
          <w:b/>
          <w:sz w:val="44"/>
          <w:szCs w:val="44"/>
        </w:rPr>
        <w:sectPr>
          <w:footerReference r:id="rId18" w:type="first"/>
          <w:headerReference r:id="rId16" w:type="default"/>
          <w:footerReference r:id="rId17" w:type="default"/>
          <w:type w:val="continuous"/>
          <w:pgSz w:w="11906" w:h="16838"/>
          <w:pgMar w:top="1440" w:right="1043" w:bottom="1440" w:left="179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upperRoman" w:start="1"/>
          <w:cols w:space="720" w:num="1"/>
          <w:docGrid w:type="linesAndChars" w:linePitch="312" w:charSpace="0"/>
        </w:sectPr>
      </w:pPr>
      <w:r>
        <w:rPr>
          <w:rFonts w:eastAsia="黑体"/>
          <w:b/>
          <w:sz w:val="44"/>
          <w:szCs w:val="44"/>
        </w:rPr>
        <w:br w:type="page"/>
      </w:r>
    </w:p>
    <w:sdt>
      <w:sdtPr>
        <w:rPr>
          <w:rFonts w:hint="eastAsia" w:ascii="黑体" w:hAnsi="黑体" w:eastAsia="黑体" w:cs="黑体"/>
          <w:b/>
          <w:kern w:val="0"/>
          <w:sz w:val="44"/>
        </w:rPr>
        <w:id w:val="147482700"/>
        <w:docPartObj>
          <w:docPartGallery w:val="Table of Contents"/>
          <w:docPartUnique/>
        </w:docPartObj>
      </w:sdtPr>
      <w:sdtEndPr>
        <w:rPr>
          <w:rFonts w:hint="eastAsia" w:ascii="宋体" w:hAnsi="宋体" w:eastAsia="黑体" w:cs="黑体"/>
          <w:b/>
          <w:kern w:val="0"/>
          <w:sz w:val="20"/>
        </w:rPr>
      </w:sdtEndPr>
      <w:sdtContent>
        <w:p>
          <w:pPr>
            <w:jc w:val="center"/>
            <w:rPr>
              <w:rFonts w:hint="eastAsia" w:ascii="黑体" w:hAnsi="黑体" w:eastAsia="黑体" w:cs="黑体"/>
              <w:b/>
              <w:sz w:val="44"/>
            </w:rPr>
          </w:pPr>
          <w:bookmarkStart w:id="0" w:name="_Toc8172_WPSOffice_Type2"/>
          <w:r>
            <w:rPr>
              <w:rFonts w:hint="eastAsia" w:ascii="黑体" w:hAnsi="黑体" w:eastAsia="黑体" w:cs="黑体"/>
              <w:b w:val="0"/>
              <w:bCs/>
              <w:sz w:val="44"/>
            </w:rPr>
            <w:t>目  录</w:t>
          </w:r>
        </w:p>
        <w:p>
          <w:pPr>
            <w:pStyle w:val="54"/>
            <w:tabs>
              <w:tab w:val="right" w:leader="dot" w:pos="9066"/>
            </w:tabs>
            <w:spacing w:line="440" w:lineRule="exact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HYPERLINK \l "_Toc19701_WPSOffice_Level1"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bCs/>
              <w:sz w:val="24"/>
              <w:szCs w:val="24"/>
            </w:rPr>
            <w:t>引   言</w:t>
          </w:r>
          <w:r>
            <w:rPr>
              <w:rFonts w:hint="eastAsia" w:ascii="宋体" w:hAnsi="宋体" w:eastAsia="宋体" w:cs="宋体"/>
              <w:bCs/>
              <w:sz w:val="24"/>
              <w:szCs w:val="24"/>
            </w:rPr>
            <w:tab/>
          </w:r>
          <w:bookmarkStart w:id="1" w:name="_Toc19701_WPSOffice_Level1Page"/>
          <w:r>
            <w:rPr>
              <w:rFonts w:hint="eastAsia" w:ascii="宋体" w:hAnsi="宋体" w:eastAsia="宋体" w:cs="宋体"/>
              <w:bCs/>
              <w:sz w:val="24"/>
              <w:szCs w:val="24"/>
            </w:rPr>
            <w:t>（Ⅱ）</w:t>
          </w:r>
          <w:bookmarkEnd w:id="1"/>
          <w:r>
            <w:rPr>
              <w:rFonts w:hint="eastAsia" w:ascii="宋体" w:hAnsi="宋体" w:eastAsia="宋体" w:cs="宋体"/>
              <w:bCs/>
              <w:sz w:val="24"/>
              <w:szCs w:val="24"/>
            </w:rPr>
            <w:fldChar w:fldCharType="end"/>
          </w:r>
        </w:p>
        <w:p>
          <w:pPr>
            <w:pStyle w:val="54"/>
            <w:tabs>
              <w:tab w:val="right" w:leader="dot" w:pos="9066"/>
            </w:tabs>
            <w:spacing w:line="440" w:lineRule="exact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HYPERLINK \l "_Toc29999_WPSOffice_Level1"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bCs/>
              <w:sz w:val="24"/>
              <w:szCs w:val="24"/>
            </w:rPr>
            <w:t>1 范围</w:t>
          </w:r>
          <w:r>
            <w:rPr>
              <w:rFonts w:hint="eastAsia" w:ascii="宋体" w:hAnsi="宋体" w:eastAsia="宋体" w:cs="宋体"/>
              <w:bCs/>
              <w:sz w:val="24"/>
              <w:szCs w:val="24"/>
            </w:rPr>
            <w:tab/>
          </w:r>
          <w:bookmarkStart w:id="2" w:name="_Toc29999_WPSOffice_Level1Page"/>
          <w:r>
            <w:rPr>
              <w:rFonts w:hint="eastAsia" w:ascii="宋体" w:hAnsi="宋体" w:eastAsia="宋体" w:cs="宋体"/>
              <w:bCs/>
              <w:sz w:val="24"/>
              <w:szCs w:val="24"/>
            </w:rPr>
            <w:t>（1</w:t>
          </w:r>
          <w:bookmarkEnd w:id="2"/>
          <w:r>
            <w:rPr>
              <w:rFonts w:hint="eastAsia" w:ascii="宋体" w:hAnsi="宋体" w:eastAsia="宋体" w:cs="宋体"/>
              <w:bCs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bCs/>
              <w:sz w:val="24"/>
              <w:szCs w:val="24"/>
            </w:rPr>
            <w:t>）</w:t>
          </w:r>
        </w:p>
        <w:p>
          <w:pPr>
            <w:pStyle w:val="54"/>
            <w:tabs>
              <w:tab w:val="right" w:leader="dot" w:pos="9066"/>
            </w:tabs>
            <w:spacing w:line="440" w:lineRule="exact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HYPERLINK \l "_Toc1486_WPSOffice_Level1"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bCs/>
              <w:sz w:val="24"/>
              <w:szCs w:val="24"/>
            </w:rPr>
            <w:t>2 引用文件</w:t>
          </w:r>
          <w:r>
            <w:rPr>
              <w:rFonts w:hint="eastAsia" w:ascii="宋体" w:hAnsi="宋体" w:eastAsia="宋体" w:cs="宋体"/>
              <w:bCs/>
              <w:sz w:val="24"/>
              <w:szCs w:val="24"/>
            </w:rPr>
            <w:tab/>
          </w:r>
          <w:bookmarkStart w:id="3" w:name="_Toc1486_WPSOffice_Level1Page"/>
          <w:r>
            <w:rPr>
              <w:rFonts w:hint="eastAsia" w:ascii="宋体" w:hAnsi="宋体" w:eastAsia="宋体" w:cs="宋体"/>
              <w:bCs/>
              <w:sz w:val="24"/>
              <w:szCs w:val="24"/>
            </w:rPr>
            <w:t>（1</w:t>
          </w:r>
          <w:bookmarkEnd w:id="3"/>
          <w:r>
            <w:rPr>
              <w:rFonts w:hint="eastAsia" w:ascii="宋体" w:hAnsi="宋体" w:eastAsia="宋体" w:cs="宋体"/>
              <w:bCs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bCs/>
              <w:sz w:val="24"/>
              <w:szCs w:val="24"/>
            </w:rPr>
            <w:t>）</w:t>
          </w:r>
        </w:p>
        <w:p>
          <w:pPr>
            <w:pStyle w:val="54"/>
            <w:tabs>
              <w:tab w:val="right" w:leader="dot" w:pos="9066"/>
            </w:tabs>
            <w:spacing w:line="440" w:lineRule="exact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HYPERLINK \l "_Toc14380_WPSOffice_Level1"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bCs/>
              <w:sz w:val="24"/>
              <w:szCs w:val="24"/>
            </w:rPr>
            <w:t>3 概述</w:t>
          </w:r>
          <w:r>
            <w:rPr>
              <w:rFonts w:hint="eastAsia" w:ascii="宋体" w:hAnsi="宋体" w:eastAsia="宋体" w:cs="宋体"/>
              <w:bCs/>
              <w:sz w:val="24"/>
              <w:szCs w:val="24"/>
            </w:rPr>
            <w:tab/>
          </w:r>
          <w:bookmarkStart w:id="4" w:name="_Toc14380_WPSOffice_Level1Page"/>
          <w:r>
            <w:rPr>
              <w:rFonts w:hint="eastAsia" w:ascii="宋体" w:hAnsi="宋体" w:eastAsia="宋体" w:cs="宋体"/>
              <w:bCs/>
              <w:sz w:val="24"/>
              <w:szCs w:val="24"/>
            </w:rPr>
            <w:t>（1</w:t>
          </w:r>
          <w:bookmarkEnd w:id="4"/>
          <w:r>
            <w:rPr>
              <w:rFonts w:hint="eastAsia" w:ascii="宋体" w:hAnsi="宋体" w:eastAsia="宋体" w:cs="宋体"/>
              <w:bCs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bCs/>
              <w:sz w:val="24"/>
              <w:szCs w:val="24"/>
            </w:rPr>
            <w:t>）</w:t>
          </w:r>
        </w:p>
        <w:p>
          <w:pPr>
            <w:pStyle w:val="54"/>
            <w:tabs>
              <w:tab w:val="right" w:leader="dot" w:pos="9066"/>
            </w:tabs>
            <w:spacing w:line="440" w:lineRule="exact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HYPERLINK \l "_Toc29712_WPSOffice_Level1"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bCs/>
              <w:sz w:val="24"/>
              <w:szCs w:val="24"/>
            </w:rPr>
            <w:t>4 计量特性</w:t>
          </w:r>
          <w:r>
            <w:rPr>
              <w:rFonts w:hint="eastAsia" w:ascii="宋体" w:hAnsi="宋体" w:eastAsia="宋体" w:cs="宋体"/>
              <w:bCs/>
              <w:sz w:val="24"/>
              <w:szCs w:val="24"/>
            </w:rPr>
            <w:tab/>
          </w:r>
          <w:bookmarkStart w:id="5" w:name="_Toc29712_WPSOffice_Level1Page"/>
          <w:r>
            <w:rPr>
              <w:rFonts w:hint="eastAsia" w:ascii="宋体" w:hAnsi="宋体" w:eastAsia="宋体" w:cs="宋体"/>
              <w:bCs/>
              <w:sz w:val="24"/>
              <w:szCs w:val="24"/>
            </w:rPr>
            <w:t>（</w:t>
          </w:r>
          <w:bookmarkEnd w:id="5"/>
          <w:r>
            <w:rPr>
              <w:rFonts w:hint="eastAsia" w:ascii="宋体" w:hAnsi="宋体" w:cs="宋体"/>
              <w:bCs/>
              <w:sz w:val="24"/>
              <w:szCs w:val="24"/>
              <w:lang w:val="en-US" w:eastAsia="zh-CN"/>
            </w:rPr>
            <w:t>2</w:t>
          </w:r>
          <w:r>
            <w:rPr>
              <w:rFonts w:hint="eastAsia" w:ascii="宋体" w:hAnsi="宋体" w:eastAsia="宋体" w:cs="宋体"/>
              <w:bCs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bCs/>
              <w:sz w:val="24"/>
              <w:szCs w:val="24"/>
            </w:rPr>
            <w:t>）</w:t>
          </w:r>
        </w:p>
        <w:p>
          <w:pPr>
            <w:pStyle w:val="54"/>
            <w:tabs>
              <w:tab w:val="right" w:leader="dot" w:pos="9066"/>
            </w:tabs>
            <w:spacing w:line="440" w:lineRule="exact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HYPERLINK \l "_Toc2145_WPSOffice_Level1"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bCs/>
              <w:sz w:val="24"/>
              <w:szCs w:val="24"/>
            </w:rPr>
            <w:t>5 校准条件</w:t>
          </w:r>
          <w:r>
            <w:rPr>
              <w:rFonts w:hint="eastAsia" w:ascii="宋体" w:hAnsi="宋体" w:eastAsia="宋体" w:cs="宋体"/>
              <w:bCs/>
              <w:sz w:val="24"/>
              <w:szCs w:val="24"/>
            </w:rPr>
            <w:tab/>
          </w:r>
          <w:bookmarkStart w:id="6" w:name="_Toc2145_WPSOffice_Level1Page"/>
          <w:r>
            <w:rPr>
              <w:rFonts w:hint="eastAsia" w:ascii="宋体" w:hAnsi="宋体" w:eastAsia="宋体" w:cs="宋体"/>
              <w:bCs/>
              <w:sz w:val="24"/>
              <w:szCs w:val="24"/>
            </w:rPr>
            <w:t>（</w:t>
          </w:r>
          <w:bookmarkEnd w:id="6"/>
          <w:r>
            <w:rPr>
              <w:rFonts w:hint="eastAsia" w:ascii="宋体" w:hAnsi="宋体" w:cs="宋体"/>
              <w:bCs/>
              <w:sz w:val="24"/>
              <w:szCs w:val="24"/>
              <w:lang w:val="en-US" w:eastAsia="zh-CN"/>
            </w:rPr>
            <w:t>3</w:t>
          </w:r>
          <w:r>
            <w:rPr>
              <w:rFonts w:hint="eastAsia" w:ascii="宋体" w:hAnsi="宋体" w:eastAsia="宋体" w:cs="宋体"/>
              <w:bCs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bCs/>
              <w:sz w:val="24"/>
              <w:szCs w:val="24"/>
            </w:rPr>
            <w:t>）</w:t>
          </w:r>
        </w:p>
        <w:p>
          <w:pPr>
            <w:pStyle w:val="55"/>
            <w:tabs>
              <w:tab w:val="right" w:leader="dot" w:pos="9066"/>
            </w:tabs>
            <w:spacing w:line="440" w:lineRule="exact"/>
            <w:ind w:left="0" w:leftChars="0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HYPERLINK \l "_Toc8172_WPSOffice_Level2"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5.1环境条件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bookmarkStart w:id="7" w:name="_Toc8172_WPSOffice_Level2Page"/>
          <w:r>
            <w:rPr>
              <w:rFonts w:hint="eastAsia" w:ascii="宋体" w:hAnsi="宋体" w:eastAsia="宋体" w:cs="宋体"/>
              <w:sz w:val="24"/>
              <w:szCs w:val="24"/>
            </w:rPr>
            <w:t>（2</w:t>
          </w:r>
          <w:bookmarkEnd w:id="7"/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sz w:val="24"/>
              <w:szCs w:val="24"/>
            </w:rPr>
            <w:t>）</w:t>
          </w:r>
        </w:p>
        <w:p>
          <w:pPr>
            <w:pStyle w:val="55"/>
            <w:tabs>
              <w:tab w:val="right" w:leader="dot" w:pos="9066"/>
            </w:tabs>
            <w:spacing w:line="440" w:lineRule="exact"/>
            <w:ind w:left="0" w:leftChars="0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HYPERLINK \l "_Toc29999_WPSOffice_Level2"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5.2测量标准及其他设备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bookmarkStart w:id="8" w:name="_Toc29999_WPSOffice_Level2Page"/>
          <w:r>
            <w:rPr>
              <w:rFonts w:hint="eastAsia" w:ascii="宋体" w:hAnsi="宋体" w:eastAsia="宋体" w:cs="宋体"/>
              <w:sz w:val="24"/>
              <w:szCs w:val="24"/>
            </w:rPr>
            <w:t>（</w:t>
          </w:r>
          <w:bookmarkEnd w:id="8"/>
          <w:r>
            <w:rPr>
              <w:rFonts w:hint="eastAsia" w:ascii="宋体" w:hAnsi="宋体" w:cs="宋体"/>
              <w:sz w:val="24"/>
              <w:szCs w:val="24"/>
              <w:lang w:val="en-US" w:eastAsia="zh-CN"/>
            </w:rPr>
            <w:t>3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sz w:val="24"/>
              <w:szCs w:val="24"/>
            </w:rPr>
            <w:t>）</w:t>
          </w:r>
        </w:p>
        <w:p>
          <w:pPr>
            <w:pStyle w:val="54"/>
            <w:tabs>
              <w:tab w:val="right" w:leader="dot" w:pos="9066"/>
            </w:tabs>
            <w:spacing w:line="440" w:lineRule="exact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HYPERLINK \l "_Toc28835_WPSOffice_Level1"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bCs/>
              <w:sz w:val="24"/>
              <w:szCs w:val="24"/>
            </w:rPr>
            <w:t>6  校准项目和校准方法</w:t>
          </w:r>
          <w:r>
            <w:rPr>
              <w:rFonts w:hint="eastAsia" w:ascii="宋体" w:hAnsi="宋体" w:eastAsia="宋体" w:cs="宋体"/>
              <w:bCs/>
              <w:sz w:val="24"/>
              <w:szCs w:val="24"/>
            </w:rPr>
            <w:tab/>
          </w:r>
          <w:bookmarkStart w:id="9" w:name="_Toc28835_WPSOffice_Level1Page"/>
          <w:r>
            <w:rPr>
              <w:rFonts w:hint="eastAsia" w:ascii="宋体" w:hAnsi="宋体" w:eastAsia="宋体" w:cs="宋体"/>
              <w:bCs/>
              <w:sz w:val="24"/>
              <w:szCs w:val="24"/>
            </w:rPr>
            <w:t>（</w:t>
          </w:r>
          <w:bookmarkEnd w:id="9"/>
          <w:r>
            <w:rPr>
              <w:rFonts w:hint="eastAsia" w:ascii="宋体" w:hAnsi="宋体" w:cs="宋体"/>
              <w:bCs/>
              <w:sz w:val="24"/>
              <w:szCs w:val="24"/>
              <w:lang w:val="en-US" w:eastAsia="zh-CN"/>
            </w:rPr>
            <w:t>3</w:t>
          </w:r>
          <w:r>
            <w:rPr>
              <w:rFonts w:hint="eastAsia" w:ascii="宋体" w:hAnsi="宋体" w:eastAsia="宋体" w:cs="宋体"/>
              <w:bCs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bCs/>
              <w:sz w:val="24"/>
              <w:szCs w:val="24"/>
            </w:rPr>
            <w:t>）</w:t>
          </w:r>
        </w:p>
        <w:p>
          <w:pPr>
            <w:pStyle w:val="55"/>
            <w:tabs>
              <w:tab w:val="right" w:leader="dot" w:pos="9066"/>
            </w:tabs>
            <w:spacing w:line="440" w:lineRule="exact"/>
            <w:ind w:left="0" w:leftChars="0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HYPERLINK \l "_Toc1486_WPSOffice_Level2"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6.1</w:t>
          </w:r>
          <w:r>
            <w:rPr>
              <w:rFonts w:hint="eastAsia" w:ascii="宋体" w:hAnsi="宋体" w:cs="宋体"/>
              <w:sz w:val="24"/>
              <w:szCs w:val="24"/>
              <w:lang w:eastAsia="zh-CN"/>
            </w:rPr>
            <w:t>校准前</w:t>
          </w:r>
          <w:r>
            <w:rPr>
              <w:rFonts w:hint="eastAsia" w:ascii="宋体" w:hAnsi="宋体" w:eastAsia="宋体" w:cs="宋体"/>
              <w:sz w:val="24"/>
              <w:szCs w:val="24"/>
            </w:rPr>
            <w:t>检查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bookmarkStart w:id="10" w:name="_Toc1486_WPSOffice_Level2Page"/>
          <w:r>
            <w:rPr>
              <w:rFonts w:hint="eastAsia" w:ascii="宋体" w:hAnsi="宋体" w:eastAsia="宋体" w:cs="宋体"/>
              <w:sz w:val="24"/>
              <w:szCs w:val="24"/>
            </w:rPr>
            <w:t>（</w:t>
          </w:r>
          <w:bookmarkEnd w:id="10"/>
          <w:r>
            <w:rPr>
              <w:rFonts w:hint="eastAsia" w:ascii="宋体" w:hAnsi="宋体" w:cs="宋体"/>
              <w:sz w:val="24"/>
              <w:szCs w:val="24"/>
              <w:lang w:val="en-US" w:eastAsia="zh-CN"/>
            </w:rPr>
            <w:t>3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sz w:val="24"/>
              <w:szCs w:val="24"/>
            </w:rPr>
            <w:t>）</w:t>
          </w:r>
        </w:p>
        <w:p>
          <w:pPr>
            <w:pStyle w:val="55"/>
            <w:tabs>
              <w:tab w:val="right" w:leader="dot" w:pos="9066"/>
            </w:tabs>
            <w:spacing w:line="440" w:lineRule="exact"/>
            <w:ind w:left="0" w:leftChars="0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HYPERLINK \l "_Toc14380_WPSOffice_Level2"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6.2示值重复性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bookmarkStart w:id="11" w:name="_Toc14380_WPSOffice_Level2Page"/>
          <w:r>
            <w:rPr>
              <w:rFonts w:hint="eastAsia" w:ascii="宋体" w:hAnsi="宋体" w:eastAsia="宋体" w:cs="宋体"/>
              <w:sz w:val="24"/>
              <w:szCs w:val="24"/>
            </w:rPr>
            <w:t>（</w:t>
          </w:r>
          <w:bookmarkEnd w:id="11"/>
          <w:r>
            <w:rPr>
              <w:rFonts w:hint="eastAsia" w:ascii="宋体" w:hAnsi="宋体" w:cs="宋体"/>
              <w:sz w:val="24"/>
              <w:szCs w:val="24"/>
              <w:lang w:val="en-US" w:eastAsia="zh-CN"/>
            </w:rPr>
            <w:t>3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sz w:val="24"/>
              <w:szCs w:val="24"/>
            </w:rPr>
            <w:t>）</w:t>
          </w:r>
        </w:p>
        <w:p>
          <w:pPr>
            <w:pStyle w:val="55"/>
            <w:tabs>
              <w:tab w:val="right" w:leader="dot" w:pos="9066"/>
            </w:tabs>
            <w:spacing w:line="440" w:lineRule="exact"/>
            <w:ind w:left="0" w:leftChars="0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HYPERLINK \l "_Toc29712_WPSOffice_Level2"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sz w:val="24"/>
              <w:szCs w:val="24"/>
            </w:rPr>
            <w:t>6.3示值误差</w:t>
          </w:r>
          <w:r>
            <w:rPr>
              <w:rFonts w:hint="eastAsia" w:ascii="宋体" w:hAnsi="宋体" w:eastAsia="宋体" w:cs="宋体"/>
              <w:sz w:val="24"/>
              <w:szCs w:val="24"/>
            </w:rPr>
            <w:tab/>
          </w:r>
          <w:bookmarkStart w:id="12" w:name="_Toc29712_WPSOffice_Level2Page"/>
          <w:r>
            <w:rPr>
              <w:rFonts w:hint="eastAsia" w:ascii="宋体" w:hAnsi="宋体" w:eastAsia="宋体" w:cs="宋体"/>
              <w:sz w:val="24"/>
              <w:szCs w:val="24"/>
            </w:rPr>
            <w:t>（</w:t>
          </w:r>
          <w:bookmarkEnd w:id="12"/>
          <w:r>
            <w:rPr>
              <w:rFonts w:hint="eastAsia" w:ascii="宋体" w:hAnsi="宋体" w:cs="宋体"/>
              <w:sz w:val="24"/>
              <w:szCs w:val="24"/>
              <w:lang w:val="en-US" w:eastAsia="zh-CN"/>
            </w:rPr>
            <w:t>4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sz w:val="24"/>
              <w:szCs w:val="24"/>
            </w:rPr>
            <w:t>）</w:t>
          </w:r>
        </w:p>
        <w:p>
          <w:pPr>
            <w:pStyle w:val="54"/>
            <w:tabs>
              <w:tab w:val="right" w:leader="dot" w:pos="9066"/>
            </w:tabs>
            <w:spacing w:line="440" w:lineRule="exact"/>
            <w:rPr>
              <w:rFonts w:hint="eastAsia" w:ascii="宋体" w:hAnsi="宋体" w:eastAsia="宋体" w:cs="宋体"/>
              <w:bCs/>
              <w:sz w:val="24"/>
              <w:szCs w:val="24"/>
            </w:rPr>
          </w:pP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HYPERLINK \l "_Toc4263_WPSOffice_Level1"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bCs/>
              <w:sz w:val="24"/>
              <w:szCs w:val="24"/>
            </w:rPr>
            <w:t>7 校准</w:t>
          </w:r>
          <w:r>
            <w:rPr>
              <w:rFonts w:hint="eastAsia" w:ascii="宋体" w:hAnsi="宋体" w:cs="宋体"/>
              <w:bCs/>
              <w:sz w:val="24"/>
              <w:szCs w:val="24"/>
              <w:lang w:eastAsia="zh-CN"/>
            </w:rPr>
            <w:t>结果表达</w:t>
          </w:r>
          <w:r>
            <w:rPr>
              <w:rFonts w:hint="eastAsia" w:ascii="宋体" w:hAnsi="宋体" w:eastAsia="宋体" w:cs="宋体"/>
              <w:bCs/>
              <w:sz w:val="24"/>
              <w:szCs w:val="24"/>
            </w:rPr>
            <w:tab/>
          </w:r>
          <w:bookmarkStart w:id="13" w:name="_Toc4263_WPSOffice_Level1Page"/>
          <w:r>
            <w:rPr>
              <w:rFonts w:hint="eastAsia" w:ascii="宋体" w:hAnsi="宋体" w:eastAsia="宋体" w:cs="宋体"/>
              <w:bCs/>
              <w:sz w:val="24"/>
              <w:szCs w:val="24"/>
            </w:rPr>
            <w:t>（</w:t>
          </w:r>
          <w:bookmarkEnd w:id="13"/>
          <w:r>
            <w:rPr>
              <w:rFonts w:hint="eastAsia" w:ascii="宋体" w:hAnsi="宋体" w:cs="宋体"/>
              <w:bCs/>
              <w:sz w:val="24"/>
              <w:szCs w:val="24"/>
              <w:lang w:val="en-US" w:eastAsia="zh-CN"/>
            </w:rPr>
            <w:t>4</w:t>
          </w:r>
          <w:r>
            <w:rPr>
              <w:rFonts w:hint="eastAsia" w:ascii="宋体" w:hAnsi="宋体" w:eastAsia="宋体" w:cs="宋体"/>
              <w:bCs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bCs/>
              <w:sz w:val="24"/>
              <w:szCs w:val="24"/>
            </w:rPr>
            <w:t>）</w:t>
          </w:r>
        </w:p>
        <w:p>
          <w:pPr>
            <w:pStyle w:val="54"/>
            <w:tabs>
              <w:tab w:val="right" w:leader="dot" w:pos="9066"/>
            </w:tabs>
            <w:spacing w:line="440" w:lineRule="exact"/>
            <w:rPr>
              <w:rFonts w:hint="eastAsia" w:ascii="宋体" w:hAnsi="宋体" w:eastAsia="宋体" w:cs="宋体"/>
              <w:bCs/>
              <w:sz w:val="24"/>
              <w:szCs w:val="24"/>
            </w:rPr>
          </w:pP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HYPERLINK \l "_Toc4263_WPSOffice_Level1"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cs="宋体"/>
              <w:bCs/>
              <w:sz w:val="24"/>
              <w:szCs w:val="24"/>
              <w:lang w:val="en-US" w:eastAsia="zh-CN"/>
            </w:rPr>
            <w:t>8</w:t>
          </w:r>
          <w:r>
            <w:rPr>
              <w:rFonts w:hint="eastAsia" w:ascii="宋体" w:hAnsi="宋体" w:eastAsia="宋体" w:cs="宋体"/>
              <w:bCs/>
              <w:sz w:val="24"/>
              <w:szCs w:val="24"/>
            </w:rPr>
            <w:t xml:space="preserve"> 校准周期</w:t>
          </w:r>
          <w:r>
            <w:rPr>
              <w:rFonts w:hint="eastAsia" w:ascii="宋体" w:hAnsi="宋体" w:eastAsia="宋体" w:cs="宋体"/>
              <w:bCs/>
              <w:sz w:val="24"/>
              <w:szCs w:val="24"/>
            </w:rPr>
            <w:tab/>
          </w:r>
          <w:r>
            <w:rPr>
              <w:rFonts w:hint="eastAsia" w:ascii="宋体" w:hAnsi="宋体" w:eastAsia="宋体" w:cs="宋体"/>
              <w:bCs/>
              <w:sz w:val="24"/>
              <w:szCs w:val="24"/>
            </w:rPr>
            <w:t>（</w:t>
          </w:r>
          <w:r>
            <w:rPr>
              <w:rFonts w:hint="eastAsia" w:ascii="宋体" w:hAnsi="宋体" w:cs="宋体"/>
              <w:bCs/>
              <w:sz w:val="24"/>
              <w:szCs w:val="24"/>
              <w:lang w:val="en-US" w:eastAsia="zh-CN"/>
            </w:rPr>
            <w:t>4</w:t>
          </w:r>
          <w:r>
            <w:rPr>
              <w:rFonts w:hint="eastAsia" w:ascii="宋体" w:hAnsi="宋体" w:eastAsia="宋体" w:cs="宋体"/>
              <w:bCs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bCs/>
              <w:sz w:val="24"/>
              <w:szCs w:val="24"/>
            </w:rPr>
            <w:t>）</w:t>
          </w:r>
        </w:p>
        <w:p>
          <w:pPr>
            <w:pStyle w:val="54"/>
            <w:tabs>
              <w:tab w:val="right" w:leader="dot" w:pos="9066"/>
            </w:tabs>
            <w:spacing w:line="440" w:lineRule="exact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bCs/>
              <w:sz w:val="24"/>
              <w:szCs w:val="24"/>
            </w:rPr>
            <w:t xml:space="preserve">附录A 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HYPERLINK \l "_Toc3309_WPSOffice_Level1"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bCs/>
              <w:sz w:val="24"/>
              <w:szCs w:val="24"/>
            </w:rPr>
            <w:t>校准原始记录</w:t>
          </w:r>
          <w:r>
            <w:rPr>
              <w:rFonts w:hint="eastAsia" w:ascii="宋体" w:hAnsi="宋体" w:cs="宋体"/>
              <w:bCs/>
              <w:sz w:val="24"/>
              <w:szCs w:val="24"/>
              <w:lang w:eastAsia="zh-CN"/>
            </w:rPr>
            <w:t>（推荐）格式样式</w:t>
          </w:r>
          <w:r>
            <w:rPr>
              <w:rFonts w:hint="eastAsia" w:ascii="宋体" w:hAnsi="宋体" w:eastAsia="宋体" w:cs="宋体"/>
              <w:bCs/>
              <w:sz w:val="24"/>
              <w:szCs w:val="24"/>
            </w:rPr>
            <w:tab/>
          </w:r>
          <w:bookmarkStart w:id="14" w:name="_Toc3309_WPSOffice_Level1Page"/>
          <w:r>
            <w:rPr>
              <w:rFonts w:hint="eastAsia" w:ascii="宋体" w:hAnsi="宋体" w:eastAsia="宋体" w:cs="宋体"/>
              <w:bCs/>
              <w:sz w:val="24"/>
              <w:szCs w:val="24"/>
            </w:rPr>
            <w:t>（</w:t>
          </w:r>
          <w:bookmarkEnd w:id="14"/>
          <w:r>
            <w:rPr>
              <w:rFonts w:hint="eastAsia" w:ascii="宋体" w:hAnsi="宋体" w:cs="宋体"/>
              <w:bCs/>
              <w:sz w:val="24"/>
              <w:szCs w:val="24"/>
              <w:lang w:val="en-US" w:eastAsia="zh-CN"/>
            </w:rPr>
            <w:t>6</w:t>
          </w:r>
          <w:r>
            <w:rPr>
              <w:rFonts w:hint="eastAsia" w:ascii="宋体" w:hAnsi="宋体" w:eastAsia="宋体" w:cs="宋体"/>
              <w:bCs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bCs/>
              <w:sz w:val="24"/>
              <w:szCs w:val="24"/>
            </w:rPr>
            <w:t>）</w:t>
          </w:r>
        </w:p>
        <w:p>
          <w:pPr>
            <w:pStyle w:val="54"/>
            <w:tabs>
              <w:tab w:val="right" w:leader="dot" w:pos="9066"/>
            </w:tabs>
            <w:spacing w:line="440" w:lineRule="exact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bCs/>
              <w:sz w:val="24"/>
              <w:szCs w:val="24"/>
            </w:rPr>
            <w:t xml:space="preserve">附录B </w: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HYPERLINK \l "_Toc3861_WPSOffice_Level1"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bCs/>
              <w:sz w:val="24"/>
              <w:szCs w:val="24"/>
            </w:rPr>
            <w:t>校准证书内页（推荐）格式样式</w:t>
          </w:r>
          <w:r>
            <w:rPr>
              <w:rFonts w:hint="eastAsia" w:ascii="宋体" w:hAnsi="宋体" w:eastAsia="宋体" w:cs="宋体"/>
              <w:bCs/>
              <w:sz w:val="24"/>
              <w:szCs w:val="24"/>
            </w:rPr>
            <w:tab/>
          </w:r>
          <w:bookmarkStart w:id="15" w:name="_Toc3861_WPSOffice_Level1Page"/>
          <w:r>
            <w:rPr>
              <w:rFonts w:hint="eastAsia" w:ascii="宋体" w:hAnsi="宋体" w:eastAsia="宋体" w:cs="宋体"/>
              <w:bCs/>
              <w:sz w:val="24"/>
              <w:szCs w:val="24"/>
            </w:rPr>
            <w:t>（</w:t>
          </w:r>
          <w:bookmarkEnd w:id="15"/>
          <w:r>
            <w:rPr>
              <w:rFonts w:hint="eastAsia" w:ascii="宋体" w:hAnsi="宋体" w:cs="宋体"/>
              <w:bCs/>
              <w:sz w:val="24"/>
              <w:szCs w:val="24"/>
              <w:lang w:val="en-US" w:eastAsia="zh-CN"/>
            </w:rPr>
            <w:t>7</w:t>
          </w:r>
          <w:r>
            <w:rPr>
              <w:rFonts w:hint="eastAsia" w:ascii="宋体" w:hAnsi="宋体" w:eastAsia="宋体" w:cs="宋体"/>
              <w:bCs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bCs/>
              <w:sz w:val="24"/>
              <w:szCs w:val="24"/>
            </w:rPr>
            <w:t>）</w:t>
          </w:r>
        </w:p>
        <w:p>
          <w:pPr>
            <w:pStyle w:val="54"/>
            <w:tabs>
              <w:tab w:val="right" w:leader="dot" w:pos="9066"/>
            </w:tabs>
            <w:spacing w:line="440" w:lineRule="exact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HYPERLINK \l "_Toc16355_WPSOffice_Level1"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bCs/>
              <w:kern w:val="2"/>
              <w:sz w:val="24"/>
              <w:szCs w:val="24"/>
            </w:rPr>
            <w:t>附录</w:t>
          </w:r>
          <w:r>
            <w:rPr>
              <w:rFonts w:hint="eastAsia" w:ascii="宋体" w:hAnsi="宋体" w:cs="宋体"/>
              <w:bCs/>
              <w:kern w:val="2"/>
              <w:sz w:val="24"/>
              <w:szCs w:val="24"/>
              <w:lang w:val="en-US" w:eastAsia="zh-CN"/>
            </w:rPr>
            <w:t>C</w:t>
          </w:r>
          <w:r>
            <w:rPr>
              <w:rFonts w:hint="eastAsia" w:ascii="宋体" w:hAnsi="宋体" w:eastAsia="宋体" w:cs="宋体"/>
              <w:bCs/>
              <w:kern w:val="2"/>
              <w:sz w:val="24"/>
              <w:szCs w:val="24"/>
            </w:rPr>
            <w:t xml:space="preserve"> </w:t>
          </w:r>
          <w:r>
            <w:rPr>
              <w:rFonts w:hint="eastAsia" w:ascii="宋体" w:hAnsi="宋体" w:cs="宋体"/>
              <w:bCs/>
              <w:kern w:val="2"/>
              <w:sz w:val="24"/>
              <w:szCs w:val="24"/>
              <w:lang w:eastAsia="zh-CN"/>
            </w:rPr>
            <w:t>煤中氟</w:t>
          </w:r>
          <w:r>
            <w:rPr>
              <w:rFonts w:hint="eastAsia" w:ascii="宋体" w:hAnsi="宋体" w:cs="宋体"/>
              <w:bCs/>
              <w:kern w:val="2"/>
              <w:sz w:val="24"/>
              <w:szCs w:val="24"/>
              <w:lang w:val="en-US" w:eastAsia="zh-CN"/>
            </w:rPr>
            <w:t>/</w:t>
          </w:r>
          <w:r>
            <w:rPr>
              <w:rFonts w:hint="eastAsia" w:ascii="宋体" w:hAnsi="宋体" w:cs="宋体"/>
              <w:bCs/>
              <w:kern w:val="2"/>
              <w:sz w:val="24"/>
              <w:szCs w:val="24"/>
              <w:lang w:eastAsia="zh-CN"/>
            </w:rPr>
            <w:t>氯成分有证标准物质</w:t>
          </w:r>
          <w:r>
            <w:rPr>
              <w:rFonts w:hint="eastAsia" w:ascii="宋体" w:hAnsi="宋体" w:eastAsia="宋体" w:cs="宋体"/>
              <w:bCs/>
              <w:sz w:val="24"/>
              <w:szCs w:val="24"/>
            </w:rPr>
            <w:tab/>
          </w:r>
          <w:bookmarkStart w:id="16" w:name="_Toc16355_WPSOffice_Level1Page"/>
          <w:r>
            <w:rPr>
              <w:rFonts w:hint="eastAsia" w:ascii="宋体" w:hAnsi="宋体" w:eastAsia="宋体" w:cs="宋体"/>
              <w:bCs/>
              <w:sz w:val="24"/>
              <w:szCs w:val="24"/>
            </w:rPr>
            <w:t>（</w:t>
          </w:r>
          <w:bookmarkEnd w:id="16"/>
          <w:r>
            <w:rPr>
              <w:rFonts w:hint="eastAsia" w:ascii="宋体" w:hAnsi="宋体" w:cs="宋体"/>
              <w:bCs/>
              <w:sz w:val="24"/>
              <w:szCs w:val="24"/>
              <w:lang w:val="en-US" w:eastAsia="zh-CN"/>
            </w:rPr>
            <w:t>8</w:t>
          </w:r>
          <w:r>
            <w:rPr>
              <w:rFonts w:hint="eastAsia" w:ascii="宋体" w:hAnsi="宋体" w:eastAsia="宋体" w:cs="宋体"/>
              <w:bCs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bCs/>
              <w:sz w:val="24"/>
              <w:szCs w:val="24"/>
            </w:rPr>
            <w:t>）</w:t>
          </w:r>
        </w:p>
        <w:p>
          <w:pPr>
            <w:pStyle w:val="54"/>
            <w:tabs>
              <w:tab w:val="right" w:leader="dot" w:pos="9066"/>
            </w:tabs>
            <w:spacing w:line="440" w:lineRule="exact"/>
            <w:rPr>
              <w:rFonts w:hint="eastAsia" w:ascii="宋体" w:hAnsi="宋体" w:eastAsia="宋体" w:cs="宋体"/>
              <w:sz w:val="24"/>
              <w:szCs w:val="24"/>
            </w:rPr>
          </w:pP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HYPERLINK \l "_Toc3472_WPSOffice_Level1"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bCs/>
              <w:kern w:val="2"/>
              <w:sz w:val="24"/>
              <w:szCs w:val="24"/>
            </w:rPr>
            <w:t>附录</w:t>
          </w:r>
          <w:r>
            <w:rPr>
              <w:rFonts w:hint="eastAsia" w:ascii="宋体" w:hAnsi="宋体" w:cs="宋体"/>
              <w:bCs/>
              <w:kern w:val="2"/>
              <w:sz w:val="24"/>
              <w:szCs w:val="24"/>
              <w:lang w:val="en-US" w:eastAsia="zh-CN"/>
            </w:rPr>
            <w:t>D</w:t>
          </w:r>
          <w:r>
            <w:rPr>
              <w:rFonts w:hint="eastAsia" w:ascii="宋体" w:hAnsi="宋体" w:eastAsia="宋体" w:cs="宋体"/>
              <w:bCs/>
              <w:kern w:val="2"/>
              <w:sz w:val="24"/>
              <w:szCs w:val="24"/>
            </w:rPr>
            <w:t xml:space="preserve"> 煤中氟</w:t>
          </w:r>
          <w:r>
            <w:rPr>
              <w:rFonts w:hint="eastAsia" w:ascii="宋体" w:hAnsi="宋体" w:cs="宋体"/>
              <w:bCs/>
              <w:kern w:val="2"/>
              <w:sz w:val="24"/>
              <w:szCs w:val="24"/>
              <w:lang w:eastAsia="zh-CN"/>
            </w:rPr>
            <w:t>测定仪示值误差</w:t>
          </w:r>
          <w:r>
            <w:rPr>
              <w:rFonts w:hint="eastAsia" w:ascii="宋体" w:hAnsi="宋体" w:eastAsia="宋体" w:cs="宋体"/>
              <w:bCs/>
              <w:kern w:val="2"/>
              <w:sz w:val="24"/>
              <w:szCs w:val="24"/>
            </w:rPr>
            <w:t>的不确定度</w:t>
          </w:r>
          <w:r>
            <w:rPr>
              <w:rFonts w:hint="eastAsia" w:ascii="宋体" w:hAnsi="宋体" w:cs="宋体"/>
              <w:bCs/>
              <w:kern w:val="2"/>
              <w:sz w:val="24"/>
              <w:szCs w:val="24"/>
              <w:lang w:eastAsia="zh-CN"/>
            </w:rPr>
            <w:t>评定示例</w:t>
          </w:r>
          <w:r>
            <w:rPr>
              <w:rFonts w:hint="eastAsia" w:ascii="宋体" w:hAnsi="宋体" w:eastAsia="宋体" w:cs="宋体"/>
              <w:bCs/>
              <w:sz w:val="24"/>
              <w:szCs w:val="24"/>
            </w:rPr>
            <w:tab/>
          </w:r>
          <w:bookmarkStart w:id="17" w:name="_Toc3472_WPSOffice_Level1Page"/>
          <w:r>
            <w:rPr>
              <w:rFonts w:hint="eastAsia" w:ascii="宋体" w:hAnsi="宋体" w:eastAsia="宋体" w:cs="宋体"/>
              <w:bCs/>
              <w:sz w:val="24"/>
              <w:szCs w:val="24"/>
            </w:rPr>
            <w:t>（</w:t>
          </w:r>
          <w:bookmarkEnd w:id="17"/>
          <w:r>
            <w:rPr>
              <w:rFonts w:hint="eastAsia" w:ascii="宋体" w:hAnsi="宋体" w:cs="宋体"/>
              <w:bCs/>
              <w:sz w:val="24"/>
              <w:szCs w:val="24"/>
              <w:lang w:val="en-US" w:eastAsia="zh-CN"/>
            </w:rPr>
            <w:t>9</w:t>
          </w:r>
          <w:r>
            <w:rPr>
              <w:rFonts w:hint="eastAsia" w:ascii="宋体" w:hAnsi="宋体" w:eastAsia="宋体" w:cs="宋体"/>
              <w:bCs/>
              <w:sz w:val="24"/>
              <w:szCs w:val="24"/>
            </w:rPr>
            <w:fldChar w:fldCharType="end"/>
          </w:r>
          <w:r>
            <w:rPr>
              <w:rFonts w:hint="eastAsia" w:ascii="宋体" w:hAnsi="宋体" w:eastAsia="宋体" w:cs="宋体"/>
              <w:bCs/>
              <w:sz w:val="24"/>
              <w:szCs w:val="24"/>
            </w:rPr>
            <w:t>）</w:t>
          </w:r>
        </w:p>
        <w:p>
          <w:pPr>
            <w:pStyle w:val="54"/>
            <w:tabs>
              <w:tab w:val="right" w:leader="dot" w:pos="9066"/>
            </w:tabs>
            <w:spacing w:line="440" w:lineRule="exact"/>
          </w:pPr>
          <w:r>
            <w:rPr>
              <w:rFonts w:hint="eastAsia" w:ascii="宋体" w:hAnsi="宋体" w:eastAsia="宋体" w:cs="宋体"/>
              <w:sz w:val="24"/>
              <w:szCs w:val="24"/>
            </w:rPr>
            <w:fldChar w:fldCharType="begin"/>
          </w:r>
          <w:r>
            <w:rPr>
              <w:rFonts w:hint="eastAsia" w:ascii="宋体" w:hAnsi="宋体" w:eastAsia="宋体" w:cs="宋体"/>
              <w:sz w:val="24"/>
              <w:szCs w:val="24"/>
            </w:rPr>
            <w:instrText xml:space="preserve"> HYPERLINK \l "_Toc8391_WPSOffice_Level1" </w:instrText>
          </w:r>
          <w:r>
            <w:rPr>
              <w:rFonts w:hint="eastAsia" w:ascii="宋体" w:hAnsi="宋体" w:eastAsia="宋体" w:cs="宋体"/>
              <w:sz w:val="24"/>
              <w:szCs w:val="24"/>
            </w:rPr>
            <w:fldChar w:fldCharType="separate"/>
          </w:r>
          <w:r>
            <w:rPr>
              <w:rFonts w:hint="eastAsia" w:ascii="宋体" w:hAnsi="宋体" w:eastAsia="宋体" w:cs="宋体"/>
              <w:bCs/>
              <w:kern w:val="2"/>
              <w:sz w:val="24"/>
              <w:szCs w:val="24"/>
            </w:rPr>
            <w:t>附录</w:t>
          </w:r>
          <w:r>
            <w:rPr>
              <w:rFonts w:hint="eastAsia" w:ascii="宋体" w:hAnsi="宋体" w:cs="宋体"/>
              <w:bCs/>
              <w:kern w:val="2"/>
              <w:sz w:val="24"/>
              <w:szCs w:val="24"/>
              <w:lang w:val="en-US" w:eastAsia="zh-CN"/>
            </w:rPr>
            <w:t>E</w:t>
          </w:r>
          <w:r>
            <w:rPr>
              <w:rFonts w:hint="eastAsia" w:ascii="宋体" w:hAnsi="宋体" w:eastAsia="宋体" w:cs="宋体"/>
              <w:bCs/>
              <w:kern w:val="2"/>
              <w:sz w:val="24"/>
              <w:szCs w:val="24"/>
            </w:rPr>
            <w:t xml:space="preserve"> 煤中</w:t>
          </w:r>
          <w:r>
            <w:rPr>
              <w:rFonts w:hint="eastAsia" w:ascii="宋体" w:hAnsi="宋体" w:cs="宋体"/>
              <w:bCs/>
              <w:kern w:val="2"/>
              <w:sz w:val="24"/>
              <w:szCs w:val="24"/>
              <w:lang w:eastAsia="zh-CN"/>
            </w:rPr>
            <w:t>氯测定仪示值误差</w:t>
          </w:r>
          <w:r>
            <w:rPr>
              <w:rFonts w:hint="eastAsia" w:ascii="宋体" w:hAnsi="宋体" w:eastAsia="宋体" w:cs="宋体"/>
              <w:bCs/>
              <w:kern w:val="2"/>
              <w:sz w:val="24"/>
              <w:szCs w:val="24"/>
            </w:rPr>
            <w:t>的不确定度</w:t>
          </w:r>
          <w:r>
            <w:rPr>
              <w:rFonts w:hint="eastAsia" w:ascii="宋体" w:hAnsi="宋体" w:cs="宋体"/>
              <w:bCs/>
              <w:kern w:val="2"/>
              <w:sz w:val="24"/>
              <w:szCs w:val="24"/>
              <w:lang w:eastAsia="zh-CN"/>
            </w:rPr>
            <w:t>评定示例</w:t>
          </w:r>
          <w:r>
            <w:rPr>
              <w:rFonts w:hint="eastAsia" w:ascii="宋体" w:hAnsi="宋体" w:eastAsia="宋体" w:cs="宋体"/>
              <w:bCs/>
              <w:sz w:val="24"/>
              <w:szCs w:val="24"/>
            </w:rPr>
            <w:tab/>
          </w:r>
          <w:bookmarkStart w:id="18" w:name="_Toc8391_WPSOffice_Level1Page"/>
          <w:r>
            <w:rPr>
              <w:rFonts w:hint="eastAsia" w:ascii="宋体" w:hAnsi="宋体" w:eastAsia="宋体" w:cs="宋体"/>
              <w:bCs/>
              <w:sz w:val="24"/>
              <w:szCs w:val="24"/>
            </w:rPr>
            <w:t>（</w:t>
          </w:r>
          <w:bookmarkEnd w:id="18"/>
          <w:r>
            <w:rPr>
              <w:rFonts w:hint="eastAsia" w:ascii="宋体" w:hAnsi="宋体" w:eastAsia="宋体" w:cs="宋体"/>
              <w:bCs/>
              <w:sz w:val="24"/>
              <w:szCs w:val="24"/>
            </w:rPr>
            <w:fldChar w:fldCharType="end"/>
          </w:r>
          <w:bookmarkEnd w:id="0"/>
          <w:r>
            <w:rPr>
              <w:rFonts w:hint="eastAsia" w:ascii="宋体" w:hAnsi="宋体" w:eastAsia="宋体" w:cs="宋体"/>
              <w:bCs/>
              <w:sz w:val="24"/>
              <w:szCs w:val="24"/>
            </w:rPr>
            <w:t>12）</w:t>
          </w:r>
        </w:p>
      </w:sdtContent>
    </w:sdt>
    <w:p>
      <w:pPr>
        <w:spacing w:line="680" w:lineRule="exact"/>
        <w:jc w:val="center"/>
        <w:rPr>
          <w:b/>
          <w:sz w:val="44"/>
          <w:szCs w:val="48"/>
        </w:rPr>
      </w:pPr>
    </w:p>
    <w:p>
      <w:pPr>
        <w:tabs>
          <w:tab w:val="left" w:pos="2275"/>
        </w:tabs>
        <w:spacing w:line="680" w:lineRule="exact"/>
        <w:jc w:val="left"/>
        <w:rPr>
          <w:rFonts w:hint="eastAsia" w:eastAsia="宋体"/>
          <w:b/>
          <w:sz w:val="44"/>
          <w:szCs w:val="48"/>
          <w:lang w:eastAsia="zh-CN"/>
        </w:rPr>
      </w:pPr>
      <w:r>
        <w:rPr>
          <w:rFonts w:hint="eastAsia"/>
          <w:b/>
          <w:sz w:val="44"/>
          <w:szCs w:val="48"/>
          <w:lang w:eastAsia="zh-CN"/>
        </w:rPr>
        <w:tab/>
      </w:r>
    </w:p>
    <w:p>
      <w:pPr>
        <w:spacing w:line="680" w:lineRule="exact"/>
        <w:jc w:val="center"/>
        <w:rPr>
          <w:b/>
          <w:sz w:val="44"/>
          <w:szCs w:val="48"/>
        </w:rPr>
      </w:pPr>
    </w:p>
    <w:p>
      <w:pPr>
        <w:spacing w:line="680" w:lineRule="exact"/>
        <w:jc w:val="center"/>
        <w:rPr>
          <w:b/>
          <w:sz w:val="44"/>
          <w:szCs w:val="48"/>
        </w:rPr>
      </w:pPr>
    </w:p>
    <w:p>
      <w:pPr>
        <w:spacing w:line="680" w:lineRule="exact"/>
        <w:rPr>
          <w:b/>
          <w:sz w:val="44"/>
          <w:szCs w:val="48"/>
        </w:rPr>
      </w:pPr>
    </w:p>
    <w:p>
      <w:pPr>
        <w:spacing w:line="680" w:lineRule="exact"/>
        <w:jc w:val="center"/>
        <w:rPr>
          <w:b/>
          <w:sz w:val="44"/>
          <w:szCs w:val="48"/>
        </w:rPr>
        <w:sectPr>
          <w:footerReference r:id="rId19" w:type="default"/>
          <w:type w:val="continuous"/>
          <w:pgSz w:w="11906" w:h="16838"/>
          <w:pgMar w:top="1440" w:right="1043" w:bottom="1440" w:left="179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upperRoman" w:start="1"/>
          <w:cols w:space="720" w:num="1"/>
          <w:docGrid w:type="linesAndChars" w:linePitch="312" w:charSpace="0"/>
        </w:sectPr>
      </w:pPr>
    </w:p>
    <w:p>
      <w:pPr>
        <w:spacing w:line="680" w:lineRule="exact"/>
        <w:jc w:val="center"/>
        <w:rPr>
          <w:rFonts w:hint="eastAsia" w:ascii="黑体" w:hAnsi="黑体" w:eastAsia="黑体" w:cs="黑体"/>
          <w:b/>
          <w:sz w:val="44"/>
          <w:szCs w:val="48"/>
        </w:rPr>
      </w:pPr>
      <w:bookmarkStart w:id="19" w:name="_Toc19701_WPSOffice_Level1"/>
      <w:bookmarkStart w:id="20" w:name="_Toc8760_WPSOffice_Level1"/>
      <w:r>
        <w:rPr>
          <w:rFonts w:hint="eastAsia" w:ascii="黑体" w:hAnsi="黑体" w:eastAsia="黑体" w:cs="黑体"/>
          <w:b/>
          <w:sz w:val="44"/>
          <w:szCs w:val="48"/>
        </w:rPr>
        <w:t>引   言</w:t>
      </w:r>
      <w:bookmarkEnd w:id="19"/>
      <w:bookmarkEnd w:id="20"/>
    </w:p>
    <w:p>
      <w:pPr>
        <w:spacing w:line="400" w:lineRule="atLeast"/>
        <w:ind w:firstLine="480" w:firstLineChars="200"/>
        <w:rPr>
          <w:sz w:val="24"/>
          <w:szCs w:val="24"/>
        </w:rPr>
      </w:pP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本规范依据JJF 1001《通用计量术语及定义》、JJF 1059.1《测量不确定度评定与表示》、JJF 1071《国家计量校准规范编写规则》、JJF 1094《测量仪器特性评定》编写。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本规范参考了GB/T 3558《煤中氯的测定方法》、GB/T 4633《煤中氟的测定方法》、GB/T 212《煤的工业分析方法》等国家标准。</w:t>
      </w:r>
    </w:p>
    <w:p>
      <w:pPr>
        <w:spacing w:line="400" w:lineRule="atLeas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本规范为首次发布。</w:t>
      </w:r>
    </w:p>
    <w:p>
      <w:pPr>
        <w:spacing w:line="400" w:lineRule="atLeast"/>
        <w:ind w:firstLine="480" w:firstLineChars="200"/>
        <w:rPr>
          <w:rFonts w:hint="eastAsia" w:ascii="宋体" w:hAnsi="宋体" w:eastAsia="宋体" w:cs="宋体"/>
          <w:sz w:val="24"/>
          <w:szCs w:val="24"/>
        </w:rPr>
        <w:sectPr>
          <w:footerReference r:id="rId20" w:type="default"/>
          <w:pgSz w:w="11906" w:h="16838"/>
          <w:pgMar w:top="1440" w:right="1043" w:bottom="1440" w:left="179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upperRoman"/>
          <w:cols w:space="720" w:num="1"/>
          <w:docGrid w:type="linesAndChars" w:linePitch="312" w:charSpace="0"/>
        </w:sectPr>
      </w:pPr>
    </w:p>
    <w:p>
      <w:pPr>
        <w:jc w:val="center"/>
        <w:rPr>
          <w:rFonts w:hint="eastAsia" w:ascii="黑体" w:hAnsi="黑体" w:eastAsia="黑体" w:cs="黑体"/>
          <w:kern w:val="0"/>
          <w:sz w:val="32"/>
          <w:szCs w:val="32"/>
        </w:rPr>
      </w:pPr>
      <w:bookmarkStart w:id="21" w:name="_Toc8172_WPSOffice_Level1"/>
      <w:bookmarkStart w:id="22" w:name="_Toc17874_WPSOffice_Level1"/>
      <w:bookmarkStart w:id="23" w:name="_Toc9134_WPSOffice_Level1"/>
      <w:r>
        <w:rPr>
          <w:rFonts w:hint="eastAsia" w:ascii="黑体" w:hAnsi="黑体" w:eastAsia="黑体" w:cs="黑体"/>
          <w:kern w:val="0"/>
          <w:sz w:val="32"/>
          <w:szCs w:val="32"/>
        </w:rPr>
        <w:t>煤中氟/氯测定仪校准规范</w:t>
      </w:r>
      <w:bookmarkEnd w:id="21"/>
      <w:bookmarkEnd w:id="22"/>
      <w:bookmarkEnd w:id="23"/>
    </w:p>
    <w:p>
      <w:pPr>
        <w:spacing w:line="360" w:lineRule="auto"/>
        <w:rPr>
          <w:rFonts w:hint="eastAsia" w:ascii="黑体" w:hAnsi="黑体" w:eastAsia="黑体" w:cs="黑体"/>
          <w:kern w:val="0"/>
          <w:sz w:val="24"/>
          <w:szCs w:val="24"/>
        </w:rPr>
      </w:pPr>
      <w:bookmarkStart w:id="24" w:name="_Toc29999_WPSOffice_Level1"/>
      <w:r>
        <w:rPr>
          <w:rFonts w:hint="eastAsia" w:ascii="黑体" w:hAnsi="黑体" w:eastAsia="黑体" w:cs="黑体"/>
          <w:kern w:val="0"/>
          <w:sz w:val="24"/>
          <w:szCs w:val="24"/>
        </w:rPr>
        <w:t>1 范围</w:t>
      </w:r>
      <w:bookmarkEnd w:id="24"/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本规范适用于煤中氟/氯测定仪的校准。测定氟含量采用高温燃烧水解-氟离子选择电极法，测定氯含量是采用高温燃烧水解-电位滴定法。使用其他方法测定煤中氟/氯的仪器可参照本规范进行校准。</w:t>
      </w:r>
    </w:p>
    <w:p>
      <w:pPr>
        <w:spacing w:line="360" w:lineRule="auto"/>
        <w:rPr>
          <w:rFonts w:eastAsia="黑体"/>
          <w:sz w:val="24"/>
        </w:rPr>
      </w:pPr>
      <w:bookmarkStart w:id="25" w:name="_Toc1486_WPSOffice_Level1"/>
      <w:r>
        <w:rPr>
          <w:rFonts w:hint="eastAsia" w:ascii="黑体" w:hAnsi="黑体" w:eastAsia="黑体" w:cs="黑体"/>
          <w:kern w:val="0"/>
          <w:sz w:val="24"/>
          <w:szCs w:val="24"/>
        </w:rPr>
        <w:t>2 引用文件</w:t>
      </w:r>
      <w:bookmarkEnd w:id="25"/>
      <w:r>
        <w:rPr>
          <w:rFonts w:hint="eastAsia" w:eastAsia="黑体"/>
          <w:kern w:val="0"/>
          <w:sz w:val="24"/>
          <w:szCs w:val="24"/>
        </w:rPr>
        <w:t xml:space="preserve">    </w:t>
      </w:r>
      <w:r>
        <w:rPr>
          <w:rFonts w:hint="eastAsia" w:eastAsia="黑体"/>
          <w:kern w:val="0"/>
          <w:sz w:val="28"/>
          <w:szCs w:val="28"/>
        </w:rPr>
        <w:t xml:space="preserve"> </w:t>
      </w:r>
      <w:r>
        <w:rPr>
          <w:bCs/>
          <w:sz w:val="24"/>
          <w:szCs w:val="24"/>
        </w:rPr>
        <w:t xml:space="preserve"> 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本规范引用下列文件：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GB/T 3558 煤中氯的测定方法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GB/T 4633 煤中氟的测定方法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GB/T 212  煤的工业分析方法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凡是注日期的引用文件，仅注日期的版本适用于本规范；凡是不注日期的引用文件，其最新版本（包括所有的修改单）适用本规范。</w:t>
      </w:r>
    </w:p>
    <w:p>
      <w:pPr>
        <w:spacing w:line="360" w:lineRule="auto"/>
        <w:rPr>
          <w:rFonts w:hint="eastAsia" w:ascii="黑体" w:hAnsi="黑体" w:eastAsia="黑体" w:cs="黑体"/>
          <w:kern w:val="0"/>
          <w:sz w:val="24"/>
          <w:szCs w:val="24"/>
        </w:rPr>
      </w:pPr>
      <w:bookmarkStart w:id="26" w:name="_Toc14380_WPSOffice_Level1"/>
      <w:r>
        <w:rPr>
          <w:rFonts w:hint="eastAsia" w:ascii="黑体" w:hAnsi="黑体" w:eastAsia="黑体" w:cs="黑体"/>
          <w:kern w:val="0"/>
          <w:sz w:val="24"/>
          <w:szCs w:val="24"/>
        </w:rPr>
        <w:t>3 概述</w:t>
      </w:r>
      <w:bookmarkEnd w:id="26"/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煤中氟/氯测定仪是测量煤及煤焦炭氟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含</w:t>
      </w:r>
      <w:r>
        <w:rPr>
          <w:rFonts w:hint="eastAsia" w:ascii="宋体" w:hAnsi="宋体" w:eastAsia="宋体" w:cs="宋体"/>
          <w:sz w:val="24"/>
          <w:szCs w:val="24"/>
        </w:rPr>
        <w:t>量/氯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含</w:t>
      </w:r>
      <w:r>
        <w:rPr>
          <w:rFonts w:hint="eastAsia" w:ascii="宋体" w:hAnsi="宋体" w:eastAsia="宋体" w:cs="宋体"/>
          <w:sz w:val="24"/>
          <w:szCs w:val="24"/>
        </w:rPr>
        <w:t>量的仪器。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测氟含量时，煤样在氧气和水蒸气混合气流中燃烧和水解，煤中氟转化为挥发性氟化物并定量地溶于水中。以氟离子选择性电极为指示电极，饱和甘汞电极或其他电极为参比电极，用标准加入法测定样品中氟离子浓度，计算出煤中氟含量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测氯含量时，煤样在氧气和水蒸气混合气流中燃烧和水解，煤中氯转化为氯化物并定量地溶于水中，以银为指示电极，银-氯化银或其他电极为参比电极，用标准硝酸银电位法直接滴定冷凝液中的氯离子浓度，根据硝酸银溶液用量计算出煤中氯含量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煤中氟/氯测定仪工作原理结构图如图1，图2和图3所示。</w:t>
      </w:r>
    </w:p>
    <w:p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sz w:val="24"/>
          <w:szCs w:val="24"/>
        </w:rPr>
        <w:drawing>
          <wp:inline distT="0" distB="0" distL="0" distR="0">
            <wp:extent cx="4705350" cy="1076325"/>
            <wp:effectExtent l="0" t="0" r="0" b="0"/>
            <wp:docPr id="3" name="对象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1" name="组合 0"/>
                    <a:cNvGrpSpPr/>
                  </a:nvGrpSpPr>
                  <a:grpSpPr>
                    <a:xfrm>
                      <a:off x="0" y="0"/>
                      <a:ext cx="5334000" cy="1524000"/>
                      <a:chOff x="1371600" y="1752600"/>
                      <a:chExt cx="5334000" cy="1524000"/>
                    </a:xfrm>
                  </a:grpSpPr>
                  <a:grpSp>
                    <a:nvGrpSpPr>
                      <a:cNvPr id="24" name="组合 23"/>
                      <a:cNvGrpSpPr/>
                    </a:nvGrpSpPr>
                    <a:grpSpPr>
                      <a:xfrm>
                        <a:off x="1371600" y="1752600"/>
                        <a:ext cx="5334000" cy="1524000"/>
                        <a:chOff x="1371600" y="1752600"/>
                        <a:chExt cx="5334000" cy="1524000"/>
                      </a:xfrm>
                    </a:grpSpPr>
                    <a:sp>
                      <a:nvSpPr>
                        <a:cNvPr id="4" name="矩形 3"/>
                        <a:cNvSpPr/>
                      </a:nvSpPr>
                      <a:spPr bwMode="auto">
                        <a:xfrm>
                          <a:off x="3124200" y="1752600"/>
                          <a:ext cx="1752600" cy="1524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1440" tIns="45720" rIns="91440" bIns="45720" numCol="1" rtlCol="0" anchor="t" anchorCtr="0" compatLnSpc="1"/>
                          <a:lstStyle>
                            <a:defPPr>
                              <a:defRPr lang="en-US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ctr" defTabSz="914400" rtl="0" eaLnBrk="0" fontAlgn="base" latinLnBrk="0" hangingPunct="0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Tx/>
                              <a:buSzTx/>
                              <a:buFontTx/>
                              <a:buNone/>
                            </a:pPr>
                            <a:endParaRPr kumimoji="0" lang="en-US" altLang="zh-CN" sz="1800" b="0" i="0" u="none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anose="020B0604020202020204" pitchFamily="2" charset="0"/>
                            </a:endParaRPr>
                          </a:p>
                          <a:p>
                            <a:pPr marL="0" marR="0" indent="0" algn="ctr" defTabSz="914400" rtl="0" eaLnBrk="0" fontAlgn="base" latinLnBrk="0" hangingPunct="0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Tx/>
                              <a:buSzTx/>
                              <a:buFontTx/>
                              <a:buNone/>
                            </a:pPr>
                            <a:endParaRPr kumimoji="0" lang="en-US" altLang="zh-CN" sz="1800" b="0" i="0" u="none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anose="020B0604020202020204" pitchFamily="2" charset="0"/>
                            </a:endParaRPr>
                          </a:p>
                          <a:p>
                            <a:pPr marL="0" marR="0" indent="0" algn="ctr" defTabSz="914400" rtl="0" eaLnBrk="0" fontAlgn="base" latinLnBrk="0" hangingPunct="0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Tx/>
                              <a:buSzTx/>
                              <a:buFontTx/>
                              <a:buNone/>
                            </a:pPr>
                            <a:r>
                              <a:rPr kumimoji="0" lang="zh-CN" altLang="en-US" sz="18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Arial" panose="020B0604020202020204" pitchFamily="2" charset="0"/>
                              </a:rPr>
                              <a:t>高温燃烧单元</a:t>
                            </a:r>
                            <a:endParaRPr kumimoji="0" lang="zh-CN" altLang="en-US" sz="1800" b="0" i="0" u="none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anose="020B0604020202020204" pitchFamily="2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5" name="矩形 4"/>
                        <a:cNvSpPr/>
                      </a:nvSpPr>
                      <a:spPr bwMode="auto">
                        <a:xfrm>
                          <a:off x="5638800" y="1828800"/>
                          <a:ext cx="1066800" cy="6096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1440" tIns="45720" rIns="91440" bIns="45720" numCol="1" rtlCol="0" anchor="t" anchorCtr="0" compatLnSpc="1"/>
                          <a:lstStyle>
                            <a:defPPr>
                              <a:defRPr lang="en-US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914400" rtl="0" eaLnBrk="0" fontAlgn="base" latinLnBrk="0" hangingPunct="0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Tx/>
                              <a:buSzTx/>
                              <a:buFontTx/>
                              <a:buNone/>
                            </a:pPr>
                            <a:r>
                              <a:rPr kumimoji="0" lang="zh-CN" altLang="en-US" sz="16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Arial" panose="020B0604020202020204" pitchFamily="2" charset="0"/>
                              </a:rPr>
                              <a:t>氧气提供单元</a:t>
                            </a:r>
                            <a:endParaRPr kumimoji="0" lang="zh-CN" altLang="en-US" sz="1600" b="0" i="0" u="none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anose="020B0604020202020204" pitchFamily="2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6" name="矩形 5"/>
                        <a:cNvSpPr/>
                      </a:nvSpPr>
                      <a:spPr bwMode="auto">
                        <a:xfrm>
                          <a:off x="5638800" y="2667000"/>
                          <a:ext cx="1066800" cy="6096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1440" tIns="45720" rIns="91440" bIns="45720" numCol="1" rtlCol="0" anchor="t" anchorCtr="0" compatLnSpc="1"/>
                          <a:lstStyle>
                            <a:defPPr>
                              <a:defRPr lang="en-US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914400" rtl="0" eaLnBrk="0" fontAlgn="base" latinLnBrk="0" hangingPunct="0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Tx/>
                              <a:buSzTx/>
                              <a:buFontTx/>
                              <a:buNone/>
                            </a:pPr>
                            <a:r>
                              <a:rPr kumimoji="0" lang="zh-CN" altLang="en-US" sz="16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Arial" panose="020B0604020202020204" pitchFamily="2" charset="0"/>
                              </a:rPr>
                              <a:t>水蒸气发生单元</a:t>
                            </a:r>
                            <a:endParaRPr kumimoji="0" lang="zh-CN" altLang="en-US" sz="1600" b="0" i="0" u="none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anose="020B0604020202020204" pitchFamily="2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8" name="直接箭头连接符 7"/>
                        <a:cNvCxnSpPr>
                          <a:stCxn id="5" idx="1"/>
                        </a:cNvCxnSpPr>
                      </a:nvCxnSpPr>
                      <a:spPr bwMode="auto">
                        <a:xfrm flipH="1">
                          <a:off x="4876800" y="2133600"/>
                          <a:ext cx="762000" cy="0"/>
                        </a:xfrm>
                        <a:prstGeom prst="straightConnector1">
                          <a:avLst/>
                        </a:prstGeom>
                        <a:solidFill>
                          <a:schemeClr val="accent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arrow"/>
                        </a:ln>
                        <a:effectLst/>
                      </a:spPr>
                    </a:cxnSp>
                    <a:sp>
                      <a:nvSpPr>
                        <a:cNvPr id="9" name="矩形 8"/>
                        <a:cNvSpPr/>
                      </a:nvSpPr>
                      <a:spPr bwMode="auto">
                        <a:xfrm>
                          <a:off x="1371600" y="1752600"/>
                          <a:ext cx="990600" cy="1524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1440" tIns="45720" rIns="91440" bIns="45720" numCol="1" rtlCol="0" anchor="t" anchorCtr="0" compatLnSpc="1"/>
                          <a:lstStyle>
                            <a:defPPr>
                              <a:defRPr lang="en-US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914400" rtl="0" eaLnBrk="0" fontAlgn="base" latinLnBrk="0" hangingPunct="0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Tx/>
                              <a:buSzTx/>
                              <a:buFontTx/>
                              <a:buNone/>
                            </a:pPr>
                            <a:endParaRPr kumimoji="0" lang="en-US" altLang="zh-CN" sz="1800" b="0" i="0" u="none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anose="020B0604020202020204" pitchFamily="2" charset="0"/>
                            </a:endParaRPr>
                          </a:p>
                          <a:p>
                            <a:pPr marL="0" marR="0" indent="0" algn="l" defTabSz="914400" rtl="0" eaLnBrk="0" fontAlgn="base" latinLnBrk="0" hangingPunct="0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Tx/>
                              <a:buSzTx/>
                              <a:buFontTx/>
                              <a:buNone/>
                            </a:pPr>
                            <a:endParaRPr kumimoji="0" lang="en-US" altLang="zh-CN" sz="1800" b="0" i="0" u="none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anose="020B0604020202020204" pitchFamily="2" charset="0"/>
                            </a:endParaRPr>
                          </a:p>
                          <a:p>
                            <a:pPr marL="0" marR="0" indent="0" algn="l" defTabSz="914400" rtl="0" eaLnBrk="0" fontAlgn="base" latinLnBrk="0" hangingPunct="0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Tx/>
                              <a:buSzTx/>
                              <a:buFontTx/>
                              <a:buNone/>
                            </a:pPr>
                            <a:r>
                              <a:rPr kumimoji="0" lang="zh-CN" altLang="en-US" sz="1800" b="0" i="0" u="none" strike="noStrike" cap="none" normalizeH="0" baseline="0" dirty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Arial" panose="020B0604020202020204" pitchFamily="2" charset="0"/>
                              </a:rPr>
                              <a:t>冷凝收集单元</a:t>
                            </a:r>
                            <a:endParaRPr kumimoji="0" lang="zh-CN" altLang="en-US" sz="1800" b="0" i="0" u="none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anose="020B0604020202020204" pitchFamily="2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14" name="直接箭头连接符 13"/>
                        <a:cNvCxnSpPr>
                          <a:stCxn id="6" idx="1"/>
                        </a:cNvCxnSpPr>
                      </a:nvCxnSpPr>
                      <a:spPr bwMode="auto">
                        <a:xfrm flipH="1">
                          <a:off x="4876800" y="2971800"/>
                          <a:ext cx="762000" cy="0"/>
                        </a:xfrm>
                        <a:prstGeom prst="straightConnector1">
                          <a:avLst/>
                        </a:prstGeom>
                        <a:solidFill>
                          <a:schemeClr val="accent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arrow"/>
                        </a:ln>
                        <a:effectLst/>
                      </a:spPr>
                    </a:cxnSp>
                    <a:cxnSp>
                      <a:nvCxnSpPr>
                        <a:cNvPr id="16" name="直接箭头连接符 15"/>
                        <a:cNvCxnSpPr>
                          <a:stCxn id="4" idx="1"/>
                          <a:endCxn id="9" idx="3"/>
                        </a:cNvCxnSpPr>
                      </a:nvCxnSpPr>
                      <a:spPr bwMode="auto">
                        <a:xfrm flipH="1">
                          <a:off x="2362200" y="2514600"/>
                          <a:ext cx="762000" cy="0"/>
                        </a:xfrm>
                        <a:prstGeom prst="straightConnector1">
                          <a:avLst/>
                        </a:prstGeom>
                        <a:solidFill>
                          <a:schemeClr val="accent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arrow"/>
                        </a:ln>
                        <a:effectLst/>
                      </a:spPr>
                    </a:cxnSp>
                  </a:grpSp>
                </lc:lockedCanvas>
              </a:graphicData>
            </a:graphic>
          </wp:inline>
        </w:drawing>
      </w:r>
    </w:p>
    <w:p>
      <w:pPr>
        <w:spacing w:line="360" w:lineRule="auto"/>
        <w:ind w:firstLine="480" w:firstLineChars="200"/>
        <w:rPr>
          <w:rFonts w:hint="eastAsia"/>
          <w:sz w:val="24"/>
          <w:szCs w:val="24"/>
        </w:rPr>
      </w:pPr>
    </w:p>
    <w:p>
      <w:pPr>
        <w:spacing w:line="360" w:lineRule="auto"/>
        <w:jc w:val="center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图1高温燃烧—水解装置结构示意图</w:t>
      </w:r>
    </w:p>
    <w:p>
      <w:pPr>
        <w:spacing w:line="360" w:lineRule="auto"/>
        <w:jc w:val="center"/>
        <w:rPr>
          <w:rFonts w:hint="eastAsia"/>
          <w:szCs w:val="21"/>
        </w:rPr>
      </w:pPr>
      <w:r>
        <w:rPr>
          <w:szCs w:val="21"/>
        </w:rPr>
        <w:drawing>
          <wp:inline distT="0" distB="0" distL="0" distR="0">
            <wp:extent cx="3512820" cy="2438400"/>
            <wp:effectExtent l="0" t="0" r="0" b="0"/>
            <wp:docPr id="4" name="对象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1" name="组合 0"/>
                    <a:cNvGrpSpPr/>
                  </a:nvGrpSpPr>
                  <a:grpSpPr>
                    <a:xfrm>
                      <a:off x="0" y="0"/>
                      <a:ext cx="3513306" cy="2438400"/>
                      <a:chOff x="1600200" y="1828800"/>
                      <a:chExt cx="3513306" cy="2438400"/>
                    </a:xfrm>
                  </a:grpSpPr>
                  <a:grpSp>
                    <a:nvGrpSpPr>
                      <a:cNvPr id="206" name="组合 205"/>
                      <a:cNvGrpSpPr/>
                    </a:nvGrpSpPr>
                    <a:grpSpPr>
                      <a:xfrm>
                        <a:off x="1600200" y="1828800"/>
                        <a:ext cx="3513306" cy="2438400"/>
                        <a:chOff x="1600200" y="1828800"/>
                        <a:chExt cx="3513306" cy="2438400"/>
                      </a:xfrm>
                    </a:grpSpPr>
                    <a:cxnSp>
                      <a:nvCxnSpPr>
                        <a:cNvPr id="11" name="直接连接符 10"/>
                        <a:cNvCxnSpPr/>
                      </a:nvCxnSpPr>
                      <a:spPr bwMode="auto">
                        <a:xfrm>
                          <a:off x="2362200" y="2667000"/>
                          <a:ext cx="0" cy="99060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12" name="直接连接符 11"/>
                        <a:cNvCxnSpPr/>
                      </a:nvCxnSpPr>
                      <a:spPr bwMode="auto">
                        <a:xfrm>
                          <a:off x="3048000" y="2667000"/>
                          <a:ext cx="0" cy="99060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15" name="直接连接符 14"/>
                        <a:cNvCxnSpPr/>
                      </a:nvCxnSpPr>
                      <a:spPr bwMode="auto">
                        <a:xfrm>
                          <a:off x="2438400" y="3733800"/>
                          <a:ext cx="533400" cy="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sp>
                      <a:nvSpPr>
                        <a:cNvPr id="27" name="任意多边形 26"/>
                        <a:cNvSpPr/>
                      </a:nvSpPr>
                      <a:spPr bwMode="auto">
                        <a:xfrm>
                          <a:off x="2362200" y="3655219"/>
                          <a:ext cx="78581" cy="80962"/>
                        </a:xfrm>
                        <a:custGeom>
                          <a:avLst/>
                          <a:gdLst>
                            <a:gd name="connsiteX0" fmla="*/ 0 w 78581"/>
                            <a:gd name="connsiteY0" fmla="*/ 0 h 80962"/>
                            <a:gd name="connsiteX1" fmla="*/ 30956 w 78581"/>
                            <a:gd name="connsiteY1" fmla="*/ 61912 h 80962"/>
                            <a:gd name="connsiteX2" fmla="*/ 30956 w 78581"/>
                            <a:gd name="connsiteY2" fmla="*/ 61912 h 80962"/>
                            <a:gd name="connsiteX3" fmla="*/ 78581 w 78581"/>
                            <a:gd name="connsiteY3" fmla="*/ 80962 h 8096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78581" h="80962">
                              <a:moveTo>
                                <a:pt x="0" y="0"/>
                              </a:moveTo>
                              <a:lnTo>
                                <a:pt x="30956" y="61912"/>
                              </a:lnTo>
                              <a:lnTo>
                                <a:pt x="30956" y="61912"/>
                              </a:lnTo>
                              <a:lnTo>
                                <a:pt x="78581" y="80962"/>
                              </a:lnTo>
                            </a:path>
                          </a:pathLst>
                        </a:custGeom>
                        <a:solidFill>
                          <a:schemeClr val="bg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1440" tIns="45720" rIns="91440" bIns="45720" numCol="1" rtlCol="0" anchor="t" anchorCtr="0" compatLnSpc="1"/>
                          <a:lstStyle>
                            <a:defPPr>
                              <a:defRPr lang="en-US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914400" rtl="0" eaLnBrk="0" fontAlgn="base" latinLnBrk="0" hangingPunct="0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Tx/>
                              <a:buSzTx/>
                              <a:buFontTx/>
                              <a:buNone/>
                            </a:pPr>
                            <a:endParaRPr kumimoji="0" lang="zh-CN" alt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anose="020B0604020202020204" pitchFamily="2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30" name="任意多边形 29"/>
                        <a:cNvSpPr/>
                      </a:nvSpPr>
                      <a:spPr bwMode="auto">
                        <a:xfrm>
                          <a:off x="2971800" y="3659981"/>
                          <a:ext cx="78581" cy="73819"/>
                        </a:xfrm>
                        <a:custGeom>
                          <a:avLst/>
                          <a:gdLst>
                            <a:gd name="connsiteX0" fmla="*/ 64293 w 64293"/>
                            <a:gd name="connsiteY0" fmla="*/ 0 h 73819"/>
                            <a:gd name="connsiteX1" fmla="*/ 42862 w 64293"/>
                            <a:gd name="connsiteY1" fmla="*/ 45244 h 73819"/>
                            <a:gd name="connsiteX2" fmla="*/ 0 w 64293"/>
                            <a:gd name="connsiteY2" fmla="*/ 73819 h 7381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64293" h="73819">
                              <a:moveTo>
                                <a:pt x="64293" y="0"/>
                              </a:moveTo>
                              <a:cubicBezTo>
                                <a:pt x="58935" y="16470"/>
                                <a:pt x="53577" y="32941"/>
                                <a:pt x="42862" y="45244"/>
                              </a:cubicBezTo>
                              <a:cubicBezTo>
                                <a:pt x="32147" y="57547"/>
                                <a:pt x="16073" y="65683"/>
                                <a:pt x="0" y="73819"/>
                              </a:cubicBezTo>
                            </a:path>
                          </a:pathLst>
                        </a:custGeom>
                        <a:solidFill>
                          <a:schemeClr val="bg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1440" tIns="45720" rIns="91440" bIns="45720" numCol="1" rtlCol="0" anchor="t" anchorCtr="0" compatLnSpc="1"/>
                          <a:lstStyle>
                            <a:defPPr>
                              <a:defRPr lang="en-US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914400" rtl="0" eaLnBrk="0" fontAlgn="base" latinLnBrk="0" hangingPunct="0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Tx/>
                              <a:buSzTx/>
                              <a:buFontTx/>
                              <a:buNone/>
                            </a:pPr>
                            <a:endParaRPr kumimoji="0" lang="zh-CN" alt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anose="020B0604020202020204" pitchFamily="2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32" name="直接连接符 31"/>
                        <a:cNvCxnSpPr/>
                      </a:nvCxnSpPr>
                      <a:spPr bwMode="auto">
                        <a:xfrm>
                          <a:off x="2286000" y="2590800"/>
                          <a:ext cx="838200" cy="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sp>
                      <a:nvSpPr>
                        <a:cNvPr id="44" name="任意多边形 43"/>
                        <a:cNvSpPr/>
                      </a:nvSpPr>
                      <a:spPr bwMode="auto">
                        <a:xfrm>
                          <a:off x="2290763" y="2590800"/>
                          <a:ext cx="73818" cy="90488"/>
                        </a:xfrm>
                        <a:custGeom>
                          <a:avLst/>
                          <a:gdLst>
                            <a:gd name="connsiteX0" fmla="*/ 0 w 73818"/>
                            <a:gd name="connsiteY0" fmla="*/ 0 h 90488"/>
                            <a:gd name="connsiteX1" fmla="*/ 54768 w 73818"/>
                            <a:gd name="connsiteY1" fmla="*/ 38100 h 90488"/>
                            <a:gd name="connsiteX2" fmla="*/ 73818 w 73818"/>
                            <a:gd name="connsiteY2" fmla="*/ 90488 h 9048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73818" h="90488">
                              <a:moveTo>
                                <a:pt x="0" y="0"/>
                              </a:moveTo>
                              <a:cubicBezTo>
                                <a:pt x="21232" y="11509"/>
                                <a:pt x="42465" y="23019"/>
                                <a:pt x="54768" y="38100"/>
                              </a:cubicBezTo>
                              <a:cubicBezTo>
                                <a:pt x="67071" y="53181"/>
                                <a:pt x="70444" y="71834"/>
                                <a:pt x="73818" y="90488"/>
                              </a:cubicBezTo>
                            </a:path>
                          </a:pathLst>
                        </a:custGeom>
                        <a:solidFill>
                          <a:schemeClr val="bg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1440" tIns="45720" rIns="91440" bIns="45720" numCol="1" rtlCol="0" anchor="t" anchorCtr="0" compatLnSpc="1"/>
                          <a:lstStyle>
                            <a:defPPr>
                              <a:defRPr lang="en-US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914400" rtl="0" eaLnBrk="0" fontAlgn="base" latinLnBrk="0" hangingPunct="0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Tx/>
                              <a:buSzTx/>
                              <a:buFontTx/>
                              <a:buNone/>
                            </a:pPr>
                            <a:endParaRPr kumimoji="0" lang="zh-CN" alt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anose="020B0604020202020204" pitchFamily="2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46" name="任意多边形 45"/>
                        <a:cNvSpPr/>
                      </a:nvSpPr>
                      <a:spPr bwMode="auto">
                        <a:xfrm>
                          <a:off x="3048001" y="2593181"/>
                          <a:ext cx="71438" cy="85725"/>
                        </a:xfrm>
                        <a:custGeom>
                          <a:avLst/>
                          <a:gdLst>
                            <a:gd name="connsiteX0" fmla="*/ 69057 w 69057"/>
                            <a:gd name="connsiteY0" fmla="*/ 0 h 85725"/>
                            <a:gd name="connsiteX1" fmla="*/ 16669 w 69057"/>
                            <a:gd name="connsiteY1" fmla="*/ 21432 h 85725"/>
                            <a:gd name="connsiteX2" fmla="*/ 0 w 69057"/>
                            <a:gd name="connsiteY2" fmla="*/ 85725 h 857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69057" h="85725">
                              <a:moveTo>
                                <a:pt x="69057" y="0"/>
                              </a:moveTo>
                              <a:cubicBezTo>
                                <a:pt x="48617" y="3572"/>
                                <a:pt x="28178" y="7145"/>
                                <a:pt x="16669" y="21432"/>
                              </a:cubicBezTo>
                              <a:cubicBezTo>
                                <a:pt x="5160" y="35719"/>
                                <a:pt x="2580" y="60722"/>
                                <a:pt x="0" y="85725"/>
                              </a:cubicBezTo>
                            </a:path>
                          </a:pathLst>
                        </a:custGeom>
                        <a:solidFill>
                          <a:schemeClr val="bg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1440" tIns="45720" rIns="91440" bIns="45720" numCol="1" rtlCol="0" anchor="t" anchorCtr="0" compatLnSpc="1"/>
                          <a:lstStyle>
                            <a:defPPr>
                              <a:defRPr lang="en-US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914400" rtl="0" eaLnBrk="0" fontAlgn="base" latinLnBrk="0" hangingPunct="0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Tx/>
                              <a:buSzTx/>
                              <a:buFontTx/>
                              <a:buNone/>
                            </a:pPr>
                            <a:endParaRPr kumimoji="0" lang="zh-CN" alt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anose="020B0604020202020204" pitchFamily="2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49" name="直接连接符 48"/>
                        <a:cNvCxnSpPr/>
                      </a:nvCxnSpPr>
                      <a:spPr bwMode="auto">
                        <a:xfrm>
                          <a:off x="2362200" y="3048000"/>
                          <a:ext cx="685800" cy="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ysDash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50" name="直接连接符 49"/>
                        <a:cNvCxnSpPr/>
                      </a:nvCxnSpPr>
                      <a:spPr bwMode="auto">
                        <a:xfrm>
                          <a:off x="2362200" y="3200400"/>
                          <a:ext cx="685800" cy="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ysDash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51" name="直接连接符 50"/>
                        <a:cNvCxnSpPr/>
                      </a:nvCxnSpPr>
                      <a:spPr bwMode="auto">
                        <a:xfrm>
                          <a:off x="2362200" y="3352800"/>
                          <a:ext cx="685800" cy="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ysDash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52" name="直接连接符 51"/>
                        <a:cNvCxnSpPr/>
                      </a:nvCxnSpPr>
                      <a:spPr bwMode="auto">
                        <a:xfrm>
                          <a:off x="2362200" y="3505200"/>
                          <a:ext cx="685800" cy="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ysDash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53" name="直接连接符 52"/>
                        <a:cNvCxnSpPr/>
                      </a:nvCxnSpPr>
                      <a:spPr bwMode="auto">
                        <a:xfrm>
                          <a:off x="2362200" y="3657600"/>
                          <a:ext cx="685800" cy="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ysDash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sp>
                      <a:nvSpPr>
                        <a:cNvPr id="47" name="矩形 46"/>
                        <a:cNvSpPr/>
                      </a:nvSpPr>
                      <a:spPr bwMode="auto">
                        <a:xfrm>
                          <a:off x="2718600" y="2667000"/>
                          <a:ext cx="79200" cy="45720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1440" tIns="45720" rIns="91440" bIns="45720" numCol="1" rtlCol="0" anchor="t" anchorCtr="0" compatLnSpc="1"/>
                          <a:lstStyle>
                            <a:defPPr>
                              <a:defRPr lang="en-US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914400" rtl="0" eaLnBrk="0" fontAlgn="base" latinLnBrk="0" hangingPunct="0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Tx/>
                              <a:buSzTx/>
                              <a:buFontTx/>
                              <a:buNone/>
                            </a:pPr>
                            <a:endParaRPr kumimoji="0" lang="zh-CN" alt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anose="020B0604020202020204" pitchFamily="2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69" name="直接连接符 68"/>
                        <a:cNvCxnSpPr/>
                      </a:nvCxnSpPr>
                      <a:spPr bwMode="auto">
                        <a:xfrm flipV="1">
                          <a:off x="2743200" y="2438400"/>
                          <a:ext cx="0" cy="21600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73" name="直接连接符 72"/>
                        <a:cNvCxnSpPr/>
                      </a:nvCxnSpPr>
                      <a:spPr bwMode="auto">
                        <a:xfrm flipV="1">
                          <a:off x="2895600" y="2510400"/>
                          <a:ext cx="0" cy="14400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76" name="直接连接符 75"/>
                        <a:cNvCxnSpPr/>
                      </a:nvCxnSpPr>
                      <a:spPr bwMode="auto">
                        <a:xfrm>
                          <a:off x="2895600" y="2654400"/>
                          <a:ext cx="0" cy="45720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3810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78" name="直接连接符 77"/>
                        <a:cNvCxnSpPr/>
                      </a:nvCxnSpPr>
                      <a:spPr bwMode="auto">
                        <a:xfrm>
                          <a:off x="2362200" y="2895600"/>
                          <a:ext cx="685800" cy="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ysDash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87" name="直接连接符 86"/>
                        <a:cNvCxnSpPr/>
                      </a:nvCxnSpPr>
                      <a:spPr bwMode="auto">
                        <a:xfrm flipH="1">
                          <a:off x="2895600" y="2514600"/>
                          <a:ext cx="1300200" cy="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95" name="直接连接符 94"/>
                        <a:cNvCxnSpPr/>
                      </a:nvCxnSpPr>
                      <a:spPr bwMode="auto">
                        <a:xfrm>
                          <a:off x="2743200" y="2438400"/>
                          <a:ext cx="1602000" cy="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99" name="直接连接符 98"/>
                        <a:cNvCxnSpPr/>
                      </a:nvCxnSpPr>
                      <a:spPr bwMode="auto">
                        <a:xfrm>
                          <a:off x="4191000" y="2514600"/>
                          <a:ext cx="0" cy="121920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101" name="直接连接符 100"/>
                        <a:cNvCxnSpPr/>
                      </a:nvCxnSpPr>
                      <a:spPr bwMode="auto">
                        <a:xfrm>
                          <a:off x="4343400" y="2438400"/>
                          <a:ext cx="0" cy="129540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105" name="直接连接符 104"/>
                        <a:cNvCxnSpPr>
                          <a:stCxn id="103" idx="1"/>
                          <a:endCxn id="103" idx="1"/>
                        </a:cNvCxnSpPr>
                      </a:nvCxnSpPr>
                      <a:spPr bwMode="auto">
                        <a:xfrm>
                          <a:off x="3962400" y="3848100"/>
                          <a:ext cx="0" cy="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107" name="直接连接符 106"/>
                        <a:cNvCxnSpPr>
                          <a:stCxn id="103" idx="1"/>
                          <a:endCxn id="103" idx="1"/>
                        </a:cNvCxnSpPr>
                      </a:nvCxnSpPr>
                      <a:spPr bwMode="auto">
                        <a:xfrm>
                          <a:off x="3962400" y="3848100"/>
                          <a:ext cx="0" cy="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115" name="直接连接符 114"/>
                        <a:cNvCxnSpPr>
                          <a:stCxn id="103" idx="1"/>
                          <a:endCxn id="103" idx="1"/>
                        </a:cNvCxnSpPr>
                      </a:nvCxnSpPr>
                      <a:spPr bwMode="auto">
                        <a:xfrm>
                          <a:off x="3962400" y="3848100"/>
                          <a:ext cx="0" cy="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117" name="直接连接符 116"/>
                        <a:cNvCxnSpPr>
                          <a:stCxn id="103" idx="1"/>
                          <a:endCxn id="103" idx="1"/>
                        </a:cNvCxnSpPr>
                      </a:nvCxnSpPr>
                      <a:spPr bwMode="auto">
                        <a:xfrm>
                          <a:off x="3962400" y="3848100"/>
                          <a:ext cx="0" cy="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sp>
                      <a:nvSpPr>
                        <a:cNvPr id="102" name="矩形 101"/>
                        <a:cNvSpPr/>
                      </a:nvSpPr>
                      <a:spPr bwMode="auto">
                        <a:xfrm>
                          <a:off x="3810000" y="3733800"/>
                          <a:ext cx="914400" cy="4572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1440" tIns="45720" rIns="91440" bIns="45720" numCol="1" rtlCol="0" anchor="t" anchorCtr="0" compatLnSpc="1"/>
                          <a:lstStyle>
                            <a:defPPr>
                              <a:defRPr lang="en-US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914400" rtl="0" eaLnBrk="0" fontAlgn="base" latinLnBrk="0" hangingPunct="0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Tx/>
                              <a:buSzTx/>
                              <a:buFontTx/>
                              <a:buNone/>
                            </a:pPr>
                            <a:endParaRPr kumimoji="0" lang="zh-CN" alt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anose="020B0604020202020204" pitchFamily="2" charset="0"/>
                            </a:endParaRPr>
                          </a:p>
                        </a:txBody>
                        <a:useSpRect/>
                      </a:txSp>
                    </a:sp>
                    <a:grpSp>
                      <a:nvGrpSpPr>
                        <a:cNvPr id="31" name="组合 124"/>
                        <a:cNvGrpSpPr/>
                      </a:nvGrpSpPr>
                      <a:grpSpPr>
                        <a:xfrm>
                          <a:off x="3962400" y="3810000"/>
                          <a:ext cx="609600" cy="76200"/>
                          <a:chOff x="4495800" y="2895600"/>
                          <a:chExt cx="533400" cy="76200"/>
                        </a:xfrm>
                      </a:grpSpPr>
                      <a:sp>
                        <a:nvSpPr>
                          <a:cNvPr id="103" name="矩形 102"/>
                          <a:cNvSpPr/>
                        </a:nvSpPr>
                        <a:spPr bwMode="auto">
                          <a:xfrm>
                            <a:off x="4495800" y="2895600"/>
                            <a:ext cx="533400" cy="762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  <a:txSp>
                          <a:txBody>
                            <a:bodyPr vert="horz" wrap="square" lIns="91440" tIns="45720" rIns="91440" bIns="45720" numCol="1" rtlCol="0" anchor="t" anchorCtr="0" compatLnSpc="1"/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panose="020B0604020202020204" pitchFamily="2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panose="020B0604020202020204" pitchFamily="2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panose="020B0604020202020204" pitchFamily="2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panose="020B0604020202020204" pitchFamily="2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panose="020B0604020202020204" pitchFamily="2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panose="020B0604020202020204" pitchFamily="2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panose="020B0604020202020204" pitchFamily="2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panose="020B0604020202020204" pitchFamily="2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panose="020B0604020202020204" pitchFamily="2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marL="0" marR="0" indent="0" algn="l" defTabSz="914400" rtl="0" eaLnBrk="0" fontAlgn="base" latinLnBrk="0" hangingPunct="0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</a:pPr>
                              <a:endParaRPr kumimoji="0" lang="zh-CN" altLang="en-US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Arial" panose="020B0604020202020204" pitchFamily="2" charset="0"/>
                              </a:endParaRPr>
                            </a:p>
                          </a:txBody>
                          <a:useSpRect/>
                        </a:txSp>
                      </a:sp>
                      <a:cxnSp>
                        <a:nvCxnSpPr>
                          <a:cNvPr id="119" name="直接连接符 118"/>
                          <a:cNvCxnSpPr/>
                        </a:nvCxnSpPr>
                        <a:spPr bwMode="auto">
                          <a:xfrm>
                            <a:off x="4648200" y="2895600"/>
                            <a:ext cx="0" cy="76200"/>
                          </a:xfrm>
                          <a:prstGeom prst="line">
                            <a:avLst/>
                          </a:prstGeom>
                          <a:solidFill>
                            <a:schemeClr val="accent1"/>
                          </a:solidFill>
                          <a:ln w="190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</a:cxnSp>
                      <a:cxnSp>
                        <a:nvCxnSpPr>
                          <a:cNvPr id="120" name="直接连接符 119"/>
                          <a:cNvCxnSpPr/>
                        </a:nvCxnSpPr>
                        <a:spPr bwMode="auto">
                          <a:xfrm>
                            <a:off x="4572000" y="2895600"/>
                            <a:ext cx="0" cy="76200"/>
                          </a:xfrm>
                          <a:prstGeom prst="line">
                            <a:avLst/>
                          </a:prstGeom>
                          <a:solidFill>
                            <a:schemeClr val="accent1"/>
                          </a:solidFill>
                          <a:ln w="190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</a:cxnSp>
                      <a:cxnSp>
                        <a:nvCxnSpPr>
                          <a:cNvPr id="121" name="直接连接符 120"/>
                          <a:cNvCxnSpPr/>
                        </a:nvCxnSpPr>
                        <a:spPr bwMode="auto">
                          <a:xfrm>
                            <a:off x="4800600" y="2895600"/>
                            <a:ext cx="0" cy="76200"/>
                          </a:xfrm>
                          <a:prstGeom prst="line">
                            <a:avLst/>
                          </a:prstGeom>
                          <a:solidFill>
                            <a:schemeClr val="accent1"/>
                          </a:solidFill>
                          <a:ln w="190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</a:cxnSp>
                      <a:cxnSp>
                        <a:nvCxnSpPr>
                          <a:cNvPr id="122" name="直接连接符 121"/>
                          <a:cNvCxnSpPr/>
                        </a:nvCxnSpPr>
                        <a:spPr bwMode="auto">
                          <a:xfrm>
                            <a:off x="4724400" y="2895600"/>
                            <a:ext cx="0" cy="76200"/>
                          </a:xfrm>
                          <a:prstGeom prst="line">
                            <a:avLst/>
                          </a:prstGeom>
                          <a:solidFill>
                            <a:schemeClr val="accent1"/>
                          </a:solidFill>
                          <a:ln w="190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</a:cxnSp>
                      <a:cxnSp>
                        <a:nvCxnSpPr>
                          <a:cNvPr id="123" name="直接连接符 122"/>
                          <a:cNvCxnSpPr/>
                        </a:nvCxnSpPr>
                        <a:spPr bwMode="auto">
                          <a:xfrm>
                            <a:off x="4953000" y="2895600"/>
                            <a:ext cx="0" cy="76200"/>
                          </a:xfrm>
                          <a:prstGeom prst="line">
                            <a:avLst/>
                          </a:prstGeom>
                          <a:solidFill>
                            <a:schemeClr val="accent1"/>
                          </a:solidFill>
                          <a:ln w="190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</a:cxnSp>
                      <a:cxnSp>
                        <a:nvCxnSpPr>
                          <a:cNvPr id="124" name="直接连接符 123"/>
                          <a:cNvCxnSpPr/>
                        </a:nvCxnSpPr>
                        <a:spPr bwMode="auto">
                          <a:xfrm>
                            <a:off x="4876800" y="2895600"/>
                            <a:ext cx="0" cy="76200"/>
                          </a:xfrm>
                          <a:prstGeom prst="line">
                            <a:avLst/>
                          </a:prstGeom>
                          <a:solidFill>
                            <a:schemeClr val="accent1"/>
                          </a:solidFill>
                          <a:ln w="190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</a:cxnSp>
                    </a:grpSp>
                    <a:sp>
                      <a:nvSpPr>
                        <a:cNvPr id="126" name="流程图: 联系 125"/>
                        <a:cNvSpPr/>
                      </a:nvSpPr>
                      <a:spPr bwMode="auto">
                        <a:xfrm>
                          <a:off x="3886200" y="4038600"/>
                          <a:ext cx="76200" cy="76200"/>
                        </a:xfrm>
                        <a:prstGeom prst="flowChartConnector">
                          <a:avLst/>
                        </a:prstGeom>
                        <a:solidFill>
                          <a:schemeClr val="bg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1440" tIns="45720" rIns="91440" bIns="45720" numCol="1" rtlCol="0" anchor="t" anchorCtr="0" compatLnSpc="1"/>
                          <a:lstStyle>
                            <a:defPPr>
                              <a:defRPr lang="en-US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914400" rtl="0" eaLnBrk="0" fontAlgn="base" latinLnBrk="0" hangingPunct="0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Tx/>
                              <a:buSzTx/>
                              <a:buFontTx/>
                              <a:buNone/>
                            </a:pPr>
                            <a:endParaRPr kumimoji="0" lang="zh-CN" alt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anose="020B0604020202020204" pitchFamily="2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27" name="流程图: 联系 126"/>
                        <a:cNvSpPr/>
                      </a:nvSpPr>
                      <a:spPr bwMode="auto">
                        <a:xfrm>
                          <a:off x="4572000" y="4038600"/>
                          <a:ext cx="76200" cy="76200"/>
                        </a:xfrm>
                        <a:prstGeom prst="flowChartConnector">
                          <a:avLst/>
                        </a:prstGeom>
                        <a:solidFill>
                          <a:schemeClr val="bg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1440" tIns="45720" rIns="91440" bIns="45720" numCol="1" rtlCol="0" anchor="t" anchorCtr="0" compatLnSpc="1"/>
                          <a:lstStyle>
                            <a:defPPr>
                              <a:defRPr lang="en-US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914400" rtl="0" eaLnBrk="0" fontAlgn="base" latinLnBrk="0" hangingPunct="0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Tx/>
                              <a:buSzTx/>
                              <a:buFontTx/>
                              <a:buNone/>
                            </a:pPr>
                            <a:endParaRPr kumimoji="0" lang="zh-CN" alt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anose="020B0604020202020204" pitchFamily="2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28" name="流程图: 联系 127"/>
                        <a:cNvSpPr/>
                      </a:nvSpPr>
                      <a:spPr bwMode="auto">
                        <a:xfrm>
                          <a:off x="4267200" y="4038600"/>
                          <a:ext cx="76200" cy="76200"/>
                        </a:xfrm>
                        <a:prstGeom prst="flowChartConnector">
                          <a:avLst/>
                        </a:prstGeom>
                        <a:solidFill>
                          <a:schemeClr val="bg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1440" tIns="45720" rIns="91440" bIns="45720" numCol="1" rtlCol="0" anchor="t" anchorCtr="0" compatLnSpc="1"/>
                          <a:lstStyle>
                            <a:defPPr>
                              <a:defRPr lang="en-US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914400" rtl="0" eaLnBrk="0" fontAlgn="base" latinLnBrk="0" hangingPunct="0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Tx/>
                              <a:buSzTx/>
                              <a:buFontTx/>
                              <a:buNone/>
                            </a:pPr>
                            <a:endParaRPr kumimoji="0" lang="zh-CN" alt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anose="020B0604020202020204" pitchFamily="2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36" name="矩形 135"/>
                        <a:cNvSpPr/>
                      </a:nvSpPr>
                      <a:spPr bwMode="auto">
                        <a:xfrm>
                          <a:off x="2362200" y="3886200"/>
                          <a:ext cx="685800" cy="381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1440" tIns="45720" rIns="91440" bIns="45720" numCol="1" rtlCol="0" anchor="t" anchorCtr="0" compatLnSpc="1"/>
                          <a:lstStyle>
                            <a:defPPr>
                              <a:defRPr lang="en-US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914400" rtl="0" eaLnBrk="0" fontAlgn="base" latinLnBrk="0" hangingPunct="0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Tx/>
                              <a:buSzTx/>
                              <a:buFontTx/>
                              <a:buNone/>
                            </a:pPr>
                            <a:endParaRPr kumimoji="0" lang="zh-CN" alt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anose="020B0604020202020204" pitchFamily="2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37" name="流程图: 联系 136"/>
                        <a:cNvSpPr/>
                      </a:nvSpPr>
                      <a:spPr bwMode="auto">
                        <a:xfrm>
                          <a:off x="2438400" y="3962400"/>
                          <a:ext cx="76200" cy="76200"/>
                        </a:xfrm>
                        <a:prstGeom prst="flowChartConnector">
                          <a:avLst/>
                        </a:prstGeom>
                        <a:solidFill>
                          <a:schemeClr val="bg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1440" tIns="45720" rIns="91440" bIns="45720" numCol="1" rtlCol="0" anchor="t" anchorCtr="0" compatLnSpc="1"/>
                          <a:lstStyle>
                            <a:defPPr>
                              <a:defRPr lang="en-US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914400" rtl="0" eaLnBrk="0" fontAlgn="base" latinLnBrk="0" hangingPunct="0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Tx/>
                              <a:buSzTx/>
                              <a:buFontTx/>
                              <a:buNone/>
                            </a:pPr>
                            <a:endParaRPr kumimoji="0" lang="zh-CN" alt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anose="020B0604020202020204" pitchFamily="2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38" name="流程图: 联系 137"/>
                        <a:cNvSpPr/>
                      </a:nvSpPr>
                      <a:spPr bwMode="auto">
                        <a:xfrm>
                          <a:off x="2895600" y="3962400"/>
                          <a:ext cx="76200" cy="76200"/>
                        </a:xfrm>
                        <a:prstGeom prst="flowChartConnector">
                          <a:avLst/>
                        </a:prstGeom>
                        <a:solidFill>
                          <a:schemeClr val="bg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1440" tIns="45720" rIns="91440" bIns="45720" numCol="1" rtlCol="0" anchor="t" anchorCtr="0" compatLnSpc="1"/>
                          <a:lstStyle>
                            <a:defPPr>
                              <a:defRPr lang="en-US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914400" rtl="0" eaLnBrk="0" fontAlgn="base" latinLnBrk="0" hangingPunct="0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Tx/>
                              <a:buSzTx/>
                              <a:buFontTx/>
                              <a:buNone/>
                            </a:pPr>
                            <a:endParaRPr kumimoji="0" lang="zh-CN" alt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anose="020B0604020202020204" pitchFamily="2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39" name="流程图: 联系 138"/>
                        <a:cNvSpPr/>
                      </a:nvSpPr>
                      <a:spPr bwMode="auto">
                        <a:xfrm>
                          <a:off x="2667000" y="4114800"/>
                          <a:ext cx="76200" cy="76200"/>
                        </a:xfrm>
                        <a:prstGeom prst="flowChartConnector">
                          <a:avLst/>
                        </a:prstGeom>
                        <a:solidFill>
                          <a:schemeClr val="bg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1440" tIns="45720" rIns="91440" bIns="45720" numCol="1" rtlCol="0" anchor="t" anchorCtr="0" compatLnSpc="1"/>
                          <a:lstStyle>
                            <a:defPPr>
                              <a:defRPr lang="en-US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914400" rtl="0" eaLnBrk="0" fontAlgn="base" latinLnBrk="0" hangingPunct="0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Tx/>
                              <a:buSzTx/>
                              <a:buFontTx/>
                              <a:buNone/>
                            </a:pPr>
                            <a:endParaRPr kumimoji="0" lang="zh-CN" alt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anose="020B0604020202020204" pitchFamily="2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141" name="直接连接符 140"/>
                        <a:cNvCxnSpPr>
                          <a:stCxn id="139" idx="3"/>
                        </a:cNvCxnSpPr>
                      </a:nvCxnSpPr>
                      <a:spPr bwMode="auto">
                        <a:xfrm flipH="1" flipV="1">
                          <a:off x="2590800" y="4038600"/>
                          <a:ext cx="87359" cy="141241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143" name="直接连接符 142"/>
                        <a:cNvCxnSpPr>
                          <a:endCxn id="139" idx="0"/>
                        </a:cNvCxnSpPr>
                      </a:nvCxnSpPr>
                      <a:spPr bwMode="auto">
                        <a:xfrm>
                          <a:off x="2590800" y="4038600"/>
                          <a:ext cx="114300" cy="7620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145" name="直接连接符 144"/>
                        <a:cNvCxnSpPr>
                          <a:stCxn id="128" idx="1"/>
                        </a:cNvCxnSpPr>
                      </a:nvCxnSpPr>
                      <a:spPr bwMode="auto">
                        <a:xfrm flipV="1">
                          <a:off x="4278359" y="3962400"/>
                          <a:ext cx="141241" cy="87359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147" name="直接连接符 146"/>
                        <a:cNvCxnSpPr>
                          <a:endCxn id="128" idx="5"/>
                        </a:cNvCxnSpPr>
                      </a:nvCxnSpPr>
                      <a:spPr bwMode="auto">
                        <a:xfrm flipH="1">
                          <a:off x="4332241" y="3962400"/>
                          <a:ext cx="87359" cy="141241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149" name="直接连接符 148"/>
                        <a:cNvCxnSpPr/>
                      </a:nvCxnSpPr>
                      <a:spPr bwMode="auto">
                        <a:xfrm>
                          <a:off x="2590800" y="3657600"/>
                          <a:ext cx="152400" cy="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5715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151" name="直接连接符 150"/>
                        <a:cNvCxnSpPr/>
                      </a:nvCxnSpPr>
                      <a:spPr bwMode="auto">
                        <a:xfrm>
                          <a:off x="2286000" y="3733800"/>
                          <a:ext cx="914400" cy="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153" name="直接连接符 152"/>
                        <a:cNvCxnSpPr/>
                      </a:nvCxnSpPr>
                      <a:spPr bwMode="auto">
                        <a:xfrm>
                          <a:off x="2514600" y="3733800"/>
                          <a:ext cx="0" cy="15240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154" name="直接连接符 153"/>
                        <a:cNvCxnSpPr/>
                      </a:nvCxnSpPr>
                      <a:spPr bwMode="auto">
                        <a:xfrm>
                          <a:off x="2895600" y="3733800"/>
                          <a:ext cx="0" cy="15240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156" name="直接连接符 155"/>
                        <a:cNvCxnSpPr/>
                      </a:nvCxnSpPr>
                      <a:spPr bwMode="auto">
                        <a:xfrm>
                          <a:off x="2438400" y="1981200"/>
                          <a:ext cx="0" cy="45720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157" name="直接连接符 156"/>
                        <a:cNvCxnSpPr/>
                      </a:nvCxnSpPr>
                      <a:spPr bwMode="auto">
                        <a:xfrm>
                          <a:off x="2514600" y="1981200"/>
                          <a:ext cx="0" cy="45720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159" name="直接连接符 158"/>
                        <a:cNvCxnSpPr/>
                      </a:nvCxnSpPr>
                      <a:spPr bwMode="auto">
                        <a:xfrm>
                          <a:off x="2438400" y="2438400"/>
                          <a:ext cx="0" cy="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161" name="直接连接符 160"/>
                        <a:cNvCxnSpPr/>
                      </a:nvCxnSpPr>
                      <a:spPr bwMode="auto">
                        <a:xfrm>
                          <a:off x="2438400" y="2438400"/>
                          <a:ext cx="0" cy="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163" name="直接连接符 162"/>
                        <a:cNvCxnSpPr/>
                      </a:nvCxnSpPr>
                      <a:spPr bwMode="auto">
                        <a:xfrm>
                          <a:off x="2438400" y="2438400"/>
                          <a:ext cx="36000" cy="3600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166" name="直接连接符 165"/>
                        <a:cNvCxnSpPr/>
                      </a:nvCxnSpPr>
                      <a:spPr bwMode="auto">
                        <a:xfrm flipH="1">
                          <a:off x="2478600" y="2438400"/>
                          <a:ext cx="36000" cy="3600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168" name="直接连接符 167"/>
                        <a:cNvCxnSpPr/>
                      </a:nvCxnSpPr>
                      <a:spPr bwMode="auto">
                        <a:xfrm>
                          <a:off x="2438400" y="2057400"/>
                          <a:ext cx="76200" cy="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ysDot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169" name="直接连接符 168"/>
                        <a:cNvCxnSpPr/>
                      </a:nvCxnSpPr>
                      <a:spPr bwMode="auto">
                        <a:xfrm>
                          <a:off x="2438400" y="2133600"/>
                          <a:ext cx="76200" cy="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ysDot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170" name="直接连接符 169"/>
                        <a:cNvCxnSpPr/>
                      </a:nvCxnSpPr>
                      <a:spPr bwMode="auto">
                        <a:xfrm>
                          <a:off x="2438400" y="2209800"/>
                          <a:ext cx="76200" cy="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ysDot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171" name="直接连接符 170"/>
                        <a:cNvCxnSpPr/>
                      </a:nvCxnSpPr>
                      <a:spPr bwMode="auto">
                        <a:xfrm>
                          <a:off x="2438400" y="2286000"/>
                          <a:ext cx="76200" cy="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ysDot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172" name="直接连接符 171"/>
                        <a:cNvCxnSpPr/>
                      </a:nvCxnSpPr>
                      <a:spPr bwMode="auto">
                        <a:xfrm>
                          <a:off x="2438400" y="2362200"/>
                          <a:ext cx="76200" cy="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ysDot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173" name="直接连接符 172"/>
                        <a:cNvCxnSpPr/>
                      </a:nvCxnSpPr>
                      <a:spPr bwMode="auto">
                        <a:xfrm>
                          <a:off x="2438400" y="2438400"/>
                          <a:ext cx="76200" cy="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ysDot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186" name="直接连接符 185"/>
                        <a:cNvCxnSpPr>
                          <a:stCxn id="136" idx="1"/>
                        </a:cNvCxnSpPr>
                      </a:nvCxnSpPr>
                      <a:spPr bwMode="auto">
                        <a:xfrm flipH="1" flipV="1">
                          <a:off x="1905000" y="3962400"/>
                          <a:ext cx="457200" cy="11430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sp>
                      <a:nvSpPr>
                        <a:cNvPr id="187" name="TextBox 186"/>
                        <a:cNvSpPr txBox="1"/>
                      </a:nvSpPr>
                      <a:spPr>
                        <a:xfrm>
                          <a:off x="1600200" y="3733800"/>
                          <a:ext cx="312906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dirty="0" smtClean="0"/>
                              <a:t>1</a:t>
                            </a:r>
                            <a:endParaRPr lang="zh-CN" altLang="en-US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189" name="直接连接符 188"/>
                        <a:cNvCxnSpPr>
                          <a:stCxn id="47" idx="1"/>
                        </a:cNvCxnSpPr>
                      </a:nvCxnSpPr>
                      <a:spPr bwMode="auto">
                        <a:xfrm flipH="1" flipV="1">
                          <a:off x="2057400" y="2667000"/>
                          <a:ext cx="661200" cy="22860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191" name="直接连接符 190"/>
                        <a:cNvCxnSpPr/>
                      </a:nvCxnSpPr>
                      <a:spPr bwMode="auto">
                        <a:xfrm flipV="1">
                          <a:off x="2895600" y="2743200"/>
                          <a:ext cx="381000" cy="15240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195" name="直接连接符 194"/>
                        <a:cNvCxnSpPr/>
                      </a:nvCxnSpPr>
                      <a:spPr bwMode="auto">
                        <a:xfrm flipH="1" flipV="1">
                          <a:off x="2133600" y="1981200"/>
                          <a:ext cx="304800" cy="15240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197" name="直接连接符 196"/>
                        <a:cNvCxnSpPr/>
                      </a:nvCxnSpPr>
                      <a:spPr bwMode="auto">
                        <a:xfrm flipV="1">
                          <a:off x="4648200" y="3505200"/>
                          <a:ext cx="228600" cy="22860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200" name="直接连接符 199"/>
                        <a:cNvCxnSpPr/>
                      </a:nvCxnSpPr>
                      <a:spPr bwMode="auto">
                        <a:xfrm flipH="1" flipV="1">
                          <a:off x="1981200" y="3429000"/>
                          <a:ext cx="609600" cy="22860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sp>
                      <a:nvSpPr>
                        <a:cNvPr id="201" name="TextBox 200"/>
                        <a:cNvSpPr txBox="1"/>
                      </a:nvSpPr>
                      <a:spPr>
                        <a:xfrm>
                          <a:off x="1676400" y="3200400"/>
                          <a:ext cx="312906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dirty="0" smtClean="0"/>
                              <a:t>2</a:t>
                            </a:r>
                            <a:endParaRPr lang="zh-CN" altLang="en-US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02" name="TextBox 201"/>
                        <a:cNvSpPr txBox="1"/>
                      </a:nvSpPr>
                      <a:spPr>
                        <a:xfrm>
                          <a:off x="1752600" y="2514600"/>
                          <a:ext cx="312906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dirty="0" smtClean="0"/>
                              <a:t>3</a:t>
                            </a:r>
                            <a:endParaRPr lang="zh-CN" altLang="en-US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03" name="TextBox 202"/>
                        <a:cNvSpPr txBox="1"/>
                      </a:nvSpPr>
                      <a:spPr>
                        <a:xfrm>
                          <a:off x="3276600" y="2590800"/>
                          <a:ext cx="312906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dirty="0" smtClean="0"/>
                              <a:t>5</a:t>
                            </a:r>
                            <a:endParaRPr lang="zh-CN" altLang="en-US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04" name="TextBox 203"/>
                        <a:cNvSpPr txBox="1"/>
                      </a:nvSpPr>
                      <a:spPr>
                        <a:xfrm>
                          <a:off x="1828800" y="1828800"/>
                          <a:ext cx="312906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dirty="0" smtClean="0"/>
                              <a:t>4</a:t>
                            </a:r>
                            <a:endParaRPr lang="zh-CN" altLang="en-US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05" name="TextBox 204"/>
                        <a:cNvSpPr txBox="1"/>
                      </a:nvSpPr>
                      <a:spPr>
                        <a:xfrm>
                          <a:off x="4800600" y="3352800"/>
                          <a:ext cx="312906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dirty="0" smtClean="0"/>
                              <a:t>6</a:t>
                            </a:r>
                            <a:endParaRPr lang="zh-CN" altLang="en-US" dirty="0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>
      <w:pPr>
        <w:spacing w:line="360" w:lineRule="auto"/>
        <w:jc w:val="center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图2测量电位仪器装置示意图（测氟含量）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1-电磁搅拌器；2-搅拌子；3-氟离子选择性电极；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4-标准溶液加入装置；5-参比电极；6-数字式离子计</w:t>
      </w:r>
    </w:p>
    <w:p>
      <w:pPr>
        <w:spacing w:line="360" w:lineRule="auto"/>
        <w:jc w:val="center"/>
        <w:rPr>
          <w:rFonts w:hint="eastAsia"/>
          <w:szCs w:val="21"/>
        </w:rPr>
      </w:pPr>
      <w:r>
        <w:rPr>
          <w:szCs w:val="21"/>
        </w:rPr>
        <w:drawing>
          <wp:inline distT="0" distB="0" distL="0" distR="0">
            <wp:extent cx="4724400" cy="2590800"/>
            <wp:effectExtent l="19050" t="0" r="0" b="0"/>
            <wp:docPr id="6" name="对象 5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1" name="组合 0"/>
                    <a:cNvGrpSpPr/>
                  </a:nvGrpSpPr>
                  <a:grpSpPr>
                    <a:xfrm>
                      <a:off x="0" y="0"/>
                      <a:ext cx="4724400" cy="2590800"/>
                      <a:chOff x="1752600" y="1828800"/>
                      <a:chExt cx="4724400" cy="2590800"/>
                    </a:xfrm>
                  </a:grpSpPr>
                  <a:grpSp>
                    <a:nvGrpSpPr>
                      <a:cNvPr id="240" name="组合 239"/>
                      <a:cNvGrpSpPr/>
                    </a:nvGrpSpPr>
                    <a:grpSpPr>
                      <a:xfrm>
                        <a:off x="1752600" y="1828800"/>
                        <a:ext cx="4724400" cy="2590800"/>
                        <a:chOff x="1752600" y="1828800"/>
                        <a:chExt cx="4724400" cy="2590800"/>
                      </a:xfrm>
                    </a:grpSpPr>
                    <a:cxnSp>
                      <a:nvCxnSpPr>
                        <a:cNvPr id="15" name="直接连接符 14"/>
                        <a:cNvCxnSpPr/>
                      </a:nvCxnSpPr>
                      <a:spPr bwMode="auto">
                        <a:xfrm>
                          <a:off x="4191000" y="3733800"/>
                          <a:ext cx="533400" cy="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73" name="直接连接符 72"/>
                        <a:cNvCxnSpPr/>
                      </a:nvCxnSpPr>
                      <a:spPr bwMode="auto">
                        <a:xfrm flipV="1">
                          <a:off x="4648200" y="2514600"/>
                          <a:ext cx="0" cy="13980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76" name="直接连接符 75"/>
                        <a:cNvCxnSpPr/>
                      </a:nvCxnSpPr>
                      <a:spPr bwMode="auto">
                        <a:xfrm>
                          <a:off x="4648200" y="2654400"/>
                          <a:ext cx="0" cy="45720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3810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105" name="直接连接符 104"/>
                        <a:cNvCxnSpPr>
                          <a:stCxn id="103" idx="1"/>
                          <a:endCxn id="103" idx="1"/>
                        </a:cNvCxnSpPr>
                      </a:nvCxnSpPr>
                      <a:spPr bwMode="auto">
                        <a:xfrm>
                          <a:off x="5715000" y="3848100"/>
                          <a:ext cx="0" cy="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107" name="直接连接符 106"/>
                        <a:cNvCxnSpPr>
                          <a:stCxn id="103" idx="1"/>
                          <a:endCxn id="103" idx="1"/>
                        </a:cNvCxnSpPr>
                      </a:nvCxnSpPr>
                      <a:spPr bwMode="auto">
                        <a:xfrm>
                          <a:off x="5715000" y="3848100"/>
                          <a:ext cx="0" cy="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115" name="直接连接符 114"/>
                        <a:cNvCxnSpPr>
                          <a:stCxn id="103" idx="1"/>
                          <a:endCxn id="103" idx="1"/>
                        </a:cNvCxnSpPr>
                      </a:nvCxnSpPr>
                      <a:spPr bwMode="auto">
                        <a:xfrm>
                          <a:off x="5715000" y="3848100"/>
                          <a:ext cx="0" cy="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117" name="直接连接符 116"/>
                        <a:cNvCxnSpPr>
                          <a:stCxn id="103" idx="1"/>
                          <a:endCxn id="103" idx="1"/>
                        </a:cNvCxnSpPr>
                      </a:nvCxnSpPr>
                      <a:spPr bwMode="auto">
                        <a:xfrm>
                          <a:off x="5715000" y="3848100"/>
                          <a:ext cx="0" cy="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sp>
                      <a:nvSpPr>
                        <a:cNvPr id="102" name="矩形 101"/>
                        <a:cNvSpPr/>
                      </a:nvSpPr>
                      <a:spPr bwMode="auto">
                        <a:xfrm>
                          <a:off x="5562600" y="3733800"/>
                          <a:ext cx="914400" cy="4572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1440" tIns="45720" rIns="91440" bIns="45720" numCol="1" rtlCol="0" anchor="t" anchorCtr="0" compatLnSpc="1"/>
                          <a:lstStyle>
                            <a:defPPr>
                              <a:defRPr lang="en-US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914400" rtl="0" eaLnBrk="0" fontAlgn="base" latinLnBrk="0" hangingPunct="0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Tx/>
                              <a:buSzTx/>
                              <a:buFontTx/>
                              <a:buNone/>
                            </a:pPr>
                            <a:endParaRPr kumimoji="0" lang="zh-CN" alt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anose="020B0604020202020204" pitchFamily="2" charset="0"/>
                            </a:endParaRPr>
                          </a:p>
                        </a:txBody>
                        <a:useSpRect/>
                      </a:txSp>
                    </a:sp>
                    <a:grpSp>
                      <a:nvGrpSpPr>
                        <a:cNvPr id="11" name="组合 124"/>
                        <a:cNvGrpSpPr/>
                      </a:nvGrpSpPr>
                      <a:grpSpPr>
                        <a:xfrm>
                          <a:off x="5715000" y="3810000"/>
                          <a:ext cx="609600" cy="76200"/>
                          <a:chOff x="4495800" y="2895600"/>
                          <a:chExt cx="533400" cy="76200"/>
                        </a:xfrm>
                      </a:grpSpPr>
                      <a:sp>
                        <a:nvSpPr>
                          <a:cNvPr id="103" name="矩形 102"/>
                          <a:cNvSpPr/>
                        </a:nvSpPr>
                        <a:spPr bwMode="auto">
                          <a:xfrm>
                            <a:off x="4495800" y="2895600"/>
                            <a:ext cx="533400" cy="762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  <a:txSp>
                          <a:txBody>
                            <a:bodyPr vert="horz" wrap="square" lIns="91440" tIns="45720" rIns="91440" bIns="45720" numCol="1" rtlCol="0" anchor="t" anchorCtr="0" compatLnSpc="1"/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panose="020B0604020202020204" pitchFamily="2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panose="020B0604020202020204" pitchFamily="2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panose="020B0604020202020204" pitchFamily="2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panose="020B0604020202020204" pitchFamily="2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panose="020B0604020202020204" pitchFamily="2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panose="020B0604020202020204" pitchFamily="2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panose="020B0604020202020204" pitchFamily="2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panose="020B0604020202020204" pitchFamily="2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panose="020B0604020202020204" pitchFamily="2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marL="0" marR="0" indent="0" algn="l" defTabSz="914400" rtl="0" eaLnBrk="0" fontAlgn="base" latinLnBrk="0" hangingPunct="0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</a:pPr>
                              <a:endParaRPr kumimoji="0" lang="zh-CN" altLang="en-US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Arial" panose="020B0604020202020204" pitchFamily="2" charset="0"/>
                              </a:endParaRPr>
                            </a:p>
                          </a:txBody>
                          <a:useSpRect/>
                        </a:txSp>
                      </a:sp>
                      <a:cxnSp>
                        <a:nvCxnSpPr>
                          <a:cNvPr id="119" name="直接连接符 118"/>
                          <a:cNvCxnSpPr/>
                        </a:nvCxnSpPr>
                        <a:spPr bwMode="auto">
                          <a:xfrm>
                            <a:off x="4648200" y="2895600"/>
                            <a:ext cx="0" cy="76200"/>
                          </a:xfrm>
                          <a:prstGeom prst="line">
                            <a:avLst/>
                          </a:prstGeom>
                          <a:solidFill>
                            <a:schemeClr val="accent1"/>
                          </a:solidFill>
                          <a:ln w="190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</a:cxnSp>
                      <a:cxnSp>
                        <a:nvCxnSpPr>
                          <a:cNvPr id="120" name="直接连接符 119"/>
                          <a:cNvCxnSpPr/>
                        </a:nvCxnSpPr>
                        <a:spPr bwMode="auto">
                          <a:xfrm>
                            <a:off x="4572000" y="2895600"/>
                            <a:ext cx="0" cy="76200"/>
                          </a:xfrm>
                          <a:prstGeom prst="line">
                            <a:avLst/>
                          </a:prstGeom>
                          <a:solidFill>
                            <a:schemeClr val="accent1"/>
                          </a:solidFill>
                          <a:ln w="190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</a:cxnSp>
                      <a:cxnSp>
                        <a:nvCxnSpPr>
                          <a:cNvPr id="121" name="直接连接符 120"/>
                          <a:cNvCxnSpPr/>
                        </a:nvCxnSpPr>
                        <a:spPr bwMode="auto">
                          <a:xfrm>
                            <a:off x="4800600" y="2895600"/>
                            <a:ext cx="0" cy="76200"/>
                          </a:xfrm>
                          <a:prstGeom prst="line">
                            <a:avLst/>
                          </a:prstGeom>
                          <a:solidFill>
                            <a:schemeClr val="accent1"/>
                          </a:solidFill>
                          <a:ln w="190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</a:cxnSp>
                      <a:cxnSp>
                        <a:nvCxnSpPr>
                          <a:cNvPr id="122" name="直接连接符 121"/>
                          <a:cNvCxnSpPr/>
                        </a:nvCxnSpPr>
                        <a:spPr bwMode="auto">
                          <a:xfrm>
                            <a:off x="4724400" y="2895600"/>
                            <a:ext cx="0" cy="76200"/>
                          </a:xfrm>
                          <a:prstGeom prst="line">
                            <a:avLst/>
                          </a:prstGeom>
                          <a:solidFill>
                            <a:schemeClr val="accent1"/>
                          </a:solidFill>
                          <a:ln w="190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</a:cxnSp>
                      <a:cxnSp>
                        <a:nvCxnSpPr>
                          <a:cNvPr id="123" name="直接连接符 122"/>
                          <a:cNvCxnSpPr/>
                        </a:nvCxnSpPr>
                        <a:spPr bwMode="auto">
                          <a:xfrm>
                            <a:off x="4953000" y="2895600"/>
                            <a:ext cx="0" cy="76200"/>
                          </a:xfrm>
                          <a:prstGeom prst="line">
                            <a:avLst/>
                          </a:prstGeom>
                          <a:solidFill>
                            <a:schemeClr val="accent1"/>
                          </a:solidFill>
                          <a:ln w="190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</a:cxnSp>
                      <a:cxnSp>
                        <a:nvCxnSpPr>
                          <a:cNvPr id="124" name="直接连接符 123"/>
                          <a:cNvCxnSpPr/>
                        </a:nvCxnSpPr>
                        <a:spPr bwMode="auto">
                          <a:xfrm>
                            <a:off x="4876800" y="2895600"/>
                            <a:ext cx="0" cy="76200"/>
                          </a:xfrm>
                          <a:prstGeom prst="line">
                            <a:avLst/>
                          </a:prstGeom>
                          <a:solidFill>
                            <a:schemeClr val="accent1"/>
                          </a:solidFill>
                          <a:ln w="190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</a:cxnSp>
                    </a:grpSp>
                    <a:sp>
                      <a:nvSpPr>
                        <a:cNvPr id="126" name="流程图: 联系 125"/>
                        <a:cNvSpPr/>
                      </a:nvSpPr>
                      <a:spPr bwMode="auto">
                        <a:xfrm>
                          <a:off x="5638800" y="4038600"/>
                          <a:ext cx="76200" cy="76200"/>
                        </a:xfrm>
                        <a:prstGeom prst="flowChartConnector">
                          <a:avLst/>
                        </a:prstGeom>
                        <a:solidFill>
                          <a:schemeClr val="bg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1440" tIns="45720" rIns="91440" bIns="45720" numCol="1" rtlCol="0" anchor="t" anchorCtr="0" compatLnSpc="1"/>
                          <a:lstStyle>
                            <a:defPPr>
                              <a:defRPr lang="en-US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914400" rtl="0" eaLnBrk="0" fontAlgn="base" latinLnBrk="0" hangingPunct="0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Tx/>
                              <a:buSzTx/>
                              <a:buFontTx/>
                              <a:buNone/>
                            </a:pPr>
                            <a:endParaRPr kumimoji="0" lang="zh-CN" alt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anose="020B0604020202020204" pitchFamily="2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27" name="流程图: 联系 126"/>
                        <a:cNvSpPr/>
                      </a:nvSpPr>
                      <a:spPr bwMode="auto">
                        <a:xfrm>
                          <a:off x="6324600" y="4038600"/>
                          <a:ext cx="76200" cy="76200"/>
                        </a:xfrm>
                        <a:prstGeom prst="flowChartConnector">
                          <a:avLst/>
                        </a:prstGeom>
                        <a:solidFill>
                          <a:schemeClr val="bg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1440" tIns="45720" rIns="91440" bIns="45720" numCol="1" rtlCol="0" anchor="t" anchorCtr="0" compatLnSpc="1"/>
                          <a:lstStyle>
                            <a:defPPr>
                              <a:defRPr lang="en-US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914400" rtl="0" eaLnBrk="0" fontAlgn="base" latinLnBrk="0" hangingPunct="0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Tx/>
                              <a:buSzTx/>
                              <a:buFontTx/>
                              <a:buNone/>
                            </a:pPr>
                            <a:endParaRPr kumimoji="0" lang="zh-CN" alt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anose="020B0604020202020204" pitchFamily="2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28" name="流程图: 联系 127"/>
                        <a:cNvSpPr/>
                      </a:nvSpPr>
                      <a:spPr bwMode="auto">
                        <a:xfrm>
                          <a:off x="6019800" y="4038600"/>
                          <a:ext cx="76200" cy="76200"/>
                        </a:xfrm>
                        <a:prstGeom prst="flowChartConnector">
                          <a:avLst/>
                        </a:prstGeom>
                        <a:solidFill>
                          <a:schemeClr val="bg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1440" tIns="45720" rIns="91440" bIns="45720" numCol="1" rtlCol="0" anchor="t" anchorCtr="0" compatLnSpc="1"/>
                          <a:lstStyle>
                            <a:defPPr>
                              <a:defRPr lang="en-US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914400" rtl="0" eaLnBrk="0" fontAlgn="base" latinLnBrk="0" hangingPunct="0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Tx/>
                              <a:buSzTx/>
                              <a:buFontTx/>
                              <a:buNone/>
                            </a:pPr>
                            <a:endParaRPr kumimoji="0" lang="zh-CN" alt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anose="020B0604020202020204" pitchFamily="2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36" name="矩形 135"/>
                        <a:cNvSpPr/>
                      </a:nvSpPr>
                      <a:spPr bwMode="auto">
                        <a:xfrm>
                          <a:off x="4114800" y="3886200"/>
                          <a:ext cx="685800" cy="381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1440" tIns="45720" rIns="91440" bIns="45720" numCol="1" rtlCol="0" anchor="t" anchorCtr="0" compatLnSpc="1"/>
                          <a:lstStyle>
                            <a:defPPr>
                              <a:defRPr lang="en-US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914400" rtl="0" eaLnBrk="0" fontAlgn="base" latinLnBrk="0" hangingPunct="0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Tx/>
                              <a:buSzTx/>
                              <a:buFontTx/>
                              <a:buNone/>
                            </a:pPr>
                            <a:endParaRPr kumimoji="0" lang="zh-CN" alt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anose="020B0604020202020204" pitchFamily="2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37" name="流程图: 联系 136"/>
                        <a:cNvSpPr/>
                      </a:nvSpPr>
                      <a:spPr bwMode="auto">
                        <a:xfrm>
                          <a:off x="4191000" y="3962400"/>
                          <a:ext cx="76200" cy="76200"/>
                        </a:xfrm>
                        <a:prstGeom prst="flowChartConnector">
                          <a:avLst/>
                        </a:prstGeom>
                        <a:solidFill>
                          <a:schemeClr val="bg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1440" tIns="45720" rIns="91440" bIns="45720" numCol="1" rtlCol="0" anchor="t" anchorCtr="0" compatLnSpc="1"/>
                          <a:lstStyle>
                            <a:defPPr>
                              <a:defRPr lang="en-US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914400" rtl="0" eaLnBrk="0" fontAlgn="base" latinLnBrk="0" hangingPunct="0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Tx/>
                              <a:buSzTx/>
                              <a:buFontTx/>
                              <a:buNone/>
                            </a:pPr>
                            <a:endParaRPr kumimoji="0" lang="zh-CN" alt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anose="020B0604020202020204" pitchFamily="2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38" name="流程图: 联系 137"/>
                        <a:cNvSpPr/>
                      </a:nvSpPr>
                      <a:spPr bwMode="auto">
                        <a:xfrm>
                          <a:off x="4648200" y="3962400"/>
                          <a:ext cx="76200" cy="76200"/>
                        </a:xfrm>
                        <a:prstGeom prst="flowChartConnector">
                          <a:avLst/>
                        </a:prstGeom>
                        <a:solidFill>
                          <a:schemeClr val="bg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1440" tIns="45720" rIns="91440" bIns="45720" numCol="1" rtlCol="0" anchor="t" anchorCtr="0" compatLnSpc="1"/>
                          <a:lstStyle>
                            <a:defPPr>
                              <a:defRPr lang="en-US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914400" rtl="0" eaLnBrk="0" fontAlgn="base" latinLnBrk="0" hangingPunct="0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Tx/>
                              <a:buSzTx/>
                              <a:buFontTx/>
                              <a:buNone/>
                            </a:pPr>
                            <a:endParaRPr kumimoji="0" lang="zh-CN" alt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anose="020B0604020202020204" pitchFamily="2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39" name="流程图: 联系 138"/>
                        <a:cNvSpPr/>
                      </a:nvSpPr>
                      <a:spPr bwMode="auto">
                        <a:xfrm>
                          <a:off x="4419600" y="4114800"/>
                          <a:ext cx="76200" cy="76200"/>
                        </a:xfrm>
                        <a:prstGeom prst="flowChartConnector">
                          <a:avLst/>
                        </a:prstGeom>
                        <a:solidFill>
                          <a:schemeClr val="bg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1440" tIns="45720" rIns="91440" bIns="45720" numCol="1" rtlCol="0" anchor="t" anchorCtr="0" compatLnSpc="1"/>
                          <a:lstStyle>
                            <a:defPPr>
                              <a:defRPr lang="en-US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914400" rtl="0" eaLnBrk="0" fontAlgn="base" latinLnBrk="0" hangingPunct="0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Tx/>
                              <a:buSzTx/>
                              <a:buFontTx/>
                              <a:buNone/>
                            </a:pPr>
                            <a:endParaRPr kumimoji="0" lang="zh-CN" alt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anose="020B0604020202020204" pitchFamily="2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141" name="直接连接符 140"/>
                        <a:cNvCxnSpPr>
                          <a:stCxn id="139" idx="3"/>
                        </a:cNvCxnSpPr>
                      </a:nvCxnSpPr>
                      <a:spPr bwMode="auto">
                        <a:xfrm flipH="1" flipV="1">
                          <a:off x="4343400" y="4038600"/>
                          <a:ext cx="87359" cy="141241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143" name="直接连接符 142"/>
                        <a:cNvCxnSpPr>
                          <a:endCxn id="139" idx="0"/>
                        </a:cNvCxnSpPr>
                      </a:nvCxnSpPr>
                      <a:spPr bwMode="auto">
                        <a:xfrm>
                          <a:off x="4343400" y="4038600"/>
                          <a:ext cx="114300" cy="7620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145" name="直接连接符 144"/>
                        <a:cNvCxnSpPr>
                          <a:stCxn id="128" idx="1"/>
                        </a:cNvCxnSpPr>
                      </a:nvCxnSpPr>
                      <a:spPr bwMode="auto">
                        <a:xfrm flipV="1">
                          <a:off x="6030959" y="3962400"/>
                          <a:ext cx="141241" cy="87359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147" name="直接连接符 146"/>
                        <a:cNvCxnSpPr>
                          <a:endCxn id="128" idx="5"/>
                        </a:cNvCxnSpPr>
                      </a:nvCxnSpPr>
                      <a:spPr bwMode="auto">
                        <a:xfrm flipH="1">
                          <a:off x="6084841" y="3962400"/>
                          <a:ext cx="87359" cy="141241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149" name="直接连接符 148"/>
                        <a:cNvCxnSpPr/>
                      </a:nvCxnSpPr>
                      <a:spPr bwMode="auto">
                        <a:xfrm>
                          <a:off x="4343400" y="3657600"/>
                          <a:ext cx="152400" cy="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5715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grpSp>
                      <a:nvGrpSpPr>
                        <a:cNvPr id="24" name="组合 79"/>
                        <a:cNvGrpSpPr/>
                      </a:nvGrpSpPr>
                      <a:grpSpPr>
                        <a:xfrm>
                          <a:off x="4038600" y="2590800"/>
                          <a:ext cx="914400" cy="1145381"/>
                          <a:chOff x="3962400" y="2667000"/>
                          <a:chExt cx="914400" cy="1145381"/>
                        </a:xfrm>
                      </a:grpSpPr>
                      <a:cxnSp>
                        <a:nvCxnSpPr>
                          <a:cNvPr id="2" name="直接连接符 10"/>
                          <a:cNvCxnSpPr/>
                        </a:nvCxnSpPr>
                        <a:spPr bwMode="auto">
                          <a:xfrm>
                            <a:off x="4038600" y="2743200"/>
                            <a:ext cx="0" cy="990600"/>
                          </a:xfrm>
                          <a:prstGeom prst="line">
                            <a:avLst/>
                          </a:prstGeom>
                          <a:solidFill>
                            <a:schemeClr val="accent1"/>
                          </a:solidFill>
                          <a:ln w="190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</a:cxnSp>
                      <a:cxnSp>
                        <a:nvCxnSpPr>
                          <a:cNvPr id="12" name="直接连接符 11"/>
                          <a:cNvCxnSpPr/>
                        </a:nvCxnSpPr>
                        <a:spPr bwMode="auto">
                          <a:xfrm>
                            <a:off x="4724400" y="2743200"/>
                            <a:ext cx="0" cy="990600"/>
                          </a:xfrm>
                          <a:prstGeom prst="line">
                            <a:avLst/>
                          </a:prstGeom>
                          <a:solidFill>
                            <a:schemeClr val="accent1"/>
                          </a:solidFill>
                          <a:ln w="190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</a:cxnSp>
                      <a:sp>
                        <a:nvSpPr>
                          <a:cNvPr id="27" name="任意多边形 26"/>
                          <a:cNvSpPr/>
                        </a:nvSpPr>
                        <a:spPr bwMode="auto">
                          <a:xfrm>
                            <a:off x="4038600" y="3731419"/>
                            <a:ext cx="78581" cy="80962"/>
                          </a:xfrm>
                          <a:custGeom>
                            <a:avLst/>
                            <a:gdLst>
                              <a:gd name="connsiteX0" fmla="*/ 0 w 78581"/>
                              <a:gd name="connsiteY0" fmla="*/ 0 h 80962"/>
                              <a:gd name="connsiteX1" fmla="*/ 30956 w 78581"/>
                              <a:gd name="connsiteY1" fmla="*/ 61912 h 80962"/>
                              <a:gd name="connsiteX2" fmla="*/ 30956 w 78581"/>
                              <a:gd name="connsiteY2" fmla="*/ 61912 h 80962"/>
                              <a:gd name="connsiteX3" fmla="*/ 78581 w 78581"/>
                              <a:gd name="connsiteY3" fmla="*/ 80962 h 8096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8581" h="80962">
                                <a:moveTo>
                                  <a:pt x="0" y="0"/>
                                </a:moveTo>
                                <a:lnTo>
                                  <a:pt x="30956" y="61912"/>
                                </a:lnTo>
                                <a:lnTo>
                                  <a:pt x="30956" y="61912"/>
                                </a:lnTo>
                                <a:lnTo>
                                  <a:pt x="78581" y="80962"/>
                                </a:lnTo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 w="190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  <a:txSp>
                          <a:txBody>
                            <a:bodyPr vert="horz" wrap="square" lIns="91440" tIns="45720" rIns="91440" bIns="45720" numCol="1" rtlCol="0" anchor="t" anchorCtr="0" compatLnSpc="1"/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panose="020B0604020202020204" pitchFamily="2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panose="020B0604020202020204" pitchFamily="2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panose="020B0604020202020204" pitchFamily="2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panose="020B0604020202020204" pitchFamily="2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panose="020B0604020202020204" pitchFamily="2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panose="020B0604020202020204" pitchFamily="2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panose="020B0604020202020204" pitchFamily="2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panose="020B0604020202020204" pitchFamily="2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panose="020B0604020202020204" pitchFamily="2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marL="0" marR="0" indent="0" algn="l" defTabSz="914400" rtl="0" eaLnBrk="0" fontAlgn="base" latinLnBrk="0" hangingPunct="0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</a:pPr>
                              <a:endParaRPr kumimoji="0" lang="zh-CN" altLang="en-US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Arial" panose="020B0604020202020204" pitchFamily="2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30" name="任意多边形 29"/>
                          <a:cNvSpPr/>
                        </a:nvSpPr>
                        <a:spPr bwMode="auto">
                          <a:xfrm>
                            <a:off x="4648200" y="3736181"/>
                            <a:ext cx="78581" cy="73819"/>
                          </a:xfrm>
                          <a:custGeom>
                            <a:avLst/>
                            <a:gdLst>
                              <a:gd name="connsiteX0" fmla="*/ 64293 w 64293"/>
                              <a:gd name="connsiteY0" fmla="*/ 0 h 73819"/>
                              <a:gd name="connsiteX1" fmla="*/ 42862 w 64293"/>
                              <a:gd name="connsiteY1" fmla="*/ 45244 h 73819"/>
                              <a:gd name="connsiteX2" fmla="*/ 0 w 64293"/>
                              <a:gd name="connsiteY2" fmla="*/ 73819 h 7381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64293" h="73819">
                                <a:moveTo>
                                  <a:pt x="64293" y="0"/>
                                </a:moveTo>
                                <a:cubicBezTo>
                                  <a:pt x="58935" y="16470"/>
                                  <a:pt x="53577" y="32941"/>
                                  <a:pt x="42862" y="45244"/>
                                </a:cubicBezTo>
                                <a:cubicBezTo>
                                  <a:pt x="32147" y="57547"/>
                                  <a:pt x="16073" y="65683"/>
                                  <a:pt x="0" y="73819"/>
                                </a:cubicBezTo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 w="190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  <a:txSp>
                          <a:txBody>
                            <a:bodyPr vert="horz" wrap="square" lIns="91440" tIns="45720" rIns="91440" bIns="45720" numCol="1" rtlCol="0" anchor="t" anchorCtr="0" compatLnSpc="1"/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panose="020B0604020202020204" pitchFamily="2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panose="020B0604020202020204" pitchFamily="2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panose="020B0604020202020204" pitchFamily="2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panose="020B0604020202020204" pitchFamily="2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panose="020B0604020202020204" pitchFamily="2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panose="020B0604020202020204" pitchFamily="2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panose="020B0604020202020204" pitchFamily="2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panose="020B0604020202020204" pitchFamily="2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panose="020B0604020202020204" pitchFamily="2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marL="0" marR="0" indent="0" algn="l" defTabSz="914400" rtl="0" eaLnBrk="0" fontAlgn="base" latinLnBrk="0" hangingPunct="0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</a:pPr>
                              <a:endParaRPr kumimoji="0" lang="zh-CN" altLang="en-US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Arial" panose="020B0604020202020204" pitchFamily="2" charset="0"/>
                              </a:endParaRPr>
                            </a:p>
                          </a:txBody>
                          <a:useSpRect/>
                        </a:txSp>
                      </a:sp>
                      <a:cxnSp>
                        <a:nvCxnSpPr>
                          <a:cNvPr id="32" name="直接连接符 31"/>
                          <a:cNvCxnSpPr/>
                        </a:nvCxnSpPr>
                        <a:spPr bwMode="auto">
                          <a:xfrm>
                            <a:off x="3962400" y="2667000"/>
                            <a:ext cx="838200" cy="0"/>
                          </a:xfrm>
                          <a:prstGeom prst="line">
                            <a:avLst/>
                          </a:prstGeom>
                          <a:solidFill>
                            <a:schemeClr val="accent1"/>
                          </a:solidFill>
                          <a:ln w="190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</a:cxnSp>
                      <a:sp>
                        <a:nvSpPr>
                          <a:cNvPr id="44" name="任意多边形 43"/>
                          <a:cNvSpPr/>
                        </a:nvSpPr>
                        <a:spPr bwMode="auto">
                          <a:xfrm>
                            <a:off x="3967163" y="2667000"/>
                            <a:ext cx="73818" cy="90488"/>
                          </a:xfrm>
                          <a:custGeom>
                            <a:avLst/>
                            <a:gdLst>
                              <a:gd name="connsiteX0" fmla="*/ 0 w 73818"/>
                              <a:gd name="connsiteY0" fmla="*/ 0 h 90488"/>
                              <a:gd name="connsiteX1" fmla="*/ 54768 w 73818"/>
                              <a:gd name="connsiteY1" fmla="*/ 38100 h 90488"/>
                              <a:gd name="connsiteX2" fmla="*/ 73818 w 73818"/>
                              <a:gd name="connsiteY2" fmla="*/ 90488 h 9048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73818" h="90488">
                                <a:moveTo>
                                  <a:pt x="0" y="0"/>
                                </a:moveTo>
                                <a:cubicBezTo>
                                  <a:pt x="21232" y="11509"/>
                                  <a:pt x="42465" y="23019"/>
                                  <a:pt x="54768" y="38100"/>
                                </a:cubicBezTo>
                                <a:cubicBezTo>
                                  <a:pt x="67071" y="53181"/>
                                  <a:pt x="70444" y="71834"/>
                                  <a:pt x="73818" y="90488"/>
                                </a:cubicBezTo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 w="190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  <a:txSp>
                          <a:txBody>
                            <a:bodyPr vert="horz" wrap="square" lIns="91440" tIns="45720" rIns="91440" bIns="45720" numCol="1" rtlCol="0" anchor="t" anchorCtr="0" compatLnSpc="1"/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panose="020B0604020202020204" pitchFamily="2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panose="020B0604020202020204" pitchFamily="2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panose="020B0604020202020204" pitchFamily="2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panose="020B0604020202020204" pitchFamily="2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panose="020B0604020202020204" pitchFamily="2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panose="020B0604020202020204" pitchFamily="2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panose="020B0604020202020204" pitchFamily="2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panose="020B0604020202020204" pitchFamily="2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panose="020B0604020202020204" pitchFamily="2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marL="0" marR="0" indent="0" algn="l" defTabSz="914400" rtl="0" eaLnBrk="0" fontAlgn="base" latinLnBrk="0" hangingPunct="0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</a:pPr>
                              <a:endParaRPr kumimoji="0" lang="zh-CN" altLang="en-US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Arial" panose="020B0604020202020204" pitchFamily="2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6" name="任意多边形 45"/>
                          <a:cNvSpPr/>
                        </a:nvSpPr>
                        <a:spPr bwMode="auto">
                          <a:xfrm>
                            <a:off x="4724401" y="2669381"/>
                            <a:ext cx="71438" cy="85725"/>
                          </a:xfrm>
                          <a:custGeom>
                            <a:avLst/>
                            <a:gdLst>
                              <a:gd name="connsiteX0" fmla="*/ 69057 w 69057"/>
                              <a:gd name="connsiteY0" fmla="*/ 0 h 85725"/>
                              <a:gd name="connsiteX1" fmla="*/ 16669 w 69057"/>
                              <a:gd name="connsiteY1" fmla="*/ 21432 h 85725"/>
                              <a:gd name="connsiteX2" fmla="*/ 0 w 69057"/>
                              <a:gd name="connsiteY2" fmla="*/ 85725 h 8572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69057" h="85725">
                                <a:moveTo>
                                  <a:pt x="69057" y="0"/>
                                </a:moveTo>
                                <a:cubicBezTo>
                                  <a:pt x="48617" y="3572"/>
                                  <a:pt x="28178" y="7145"/>
                                  <a:pt x="16669" y="21432"/>
                                </a:cubicBezTo>
                                <a:cubicBezTo>
                                  <a:pt x="5160" y="35719"/>
                                  <a:pt x="2580" y="60722"/>
                                  <a:pt x="0" y="85725"/>
                                </a:cubicBezTo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 w="190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  <a:txSp>
                          <a:txBody>
                            <a:bodyPr vert="horz" wrap="square" lIns="91440" tIns="45720" rIns="91440" bIns="45720" numCol="1" rtlCol="0" anchor="t" anchorCtr="0" compatLnSpc="1"/>
                            <a:lstStyle>
                              <a:defPPr>
                                <a:defRPr lang="en-US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panose="020B0604020202020204" pitchFamily="2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panose="020B0604020202020204" pitchFamily="2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panose="020B0604020202020204" pitchFamily="2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panose="020B0604020202020204" pitchFamily="2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panose="020B0604020202020204" pitchFamily="2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panose="020B0604020202020204" pitchFamily="2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panose="020B0604020202020204" pitchFamily="2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panose="020B0604020202020204" pitchFamily="2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panose="020B0604020202020204" pitchFamily="2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marL="0" marR="0" indent="0" algn="l" defTabSz="914400" rtl="0" eaLnBrk="0" fontAlgn="base" latinLnBrk="0" hangingPunct="0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</a:pPr>
                              <a:endParaRPr kumimoji="0" lang="zh-CN" altLang="en-US" sz="1800" b="0" i="0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Arial" panose="020B0604020202020204" pitchFamily="2" charset="0"/>
                              </a:endParaRPr>
                            </a:p>
                          </a:txBody>
                          <a:useSpRect/>
                        </a:txSp>
                      </a:sp>
                      <a:cxnSp>
                        <a:nvCxnSpPr>
                          <a:cNvPr id="49" name="直接连接符 48"/>
                          <a:cNvCxnSpPr/>
                        </a:nvCxnSpPr>
                        <a:spPr bwMode="auto">
                          <a:xfrm>
                            <a:off x="4038600" y="3124200"/>
                            <a:ext cx="685800" cy="0"/>
                          </a:xfrm>
                          <a:prstGeom prst="line">
                            <a:avLst/>
                          </a:prstGeom>
                          <a:solidFill>
                            <a:schemeClr val="accent1"/>
                          </a:solidFill>
                          <a:ln w="19050" cap="flat" cmpd="sng" algn="ctr">
                            <a:solidFill>
                              <a:schemeClr val="tx1"/>
                            </a:solidFill>
                            <a:prstDash val="sysDash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</a:cxnSp>
                      <a:cxnSp>
                        <a:nvCxnSpPr>
                          <a:cNvPr id="50" name="直接连接符 49"/>
                          <a:cNvCxnSpPr/>
                        </a:nvCxnSpPr>
                        <a:spPr bwMode="auto">
                          <a:xfrm>
                            <a:off x="4038600" y="3276600"/>
                            <a:ext cx="685800" cy="0"/>
                          </a:xfrm>
                          <a:prstGeom prst="line">
                            <a:avLst/>
                          </a:prstGeom>
                          <a:solidFill>
                            <a:schemeClr val="accent1"/>
                          </a:solidFill>
                          <a:ln w="19050" cap="flat" cmpd="sng" algn="ctr">
                            <a:solidFill>
                              <a:schemeClr val="tx1"/>
                            </a:solidFill>
                            <a:prstDash val="sysDash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</a:cxnSp>
                      <a:cxnSp>
                        <a:nvCxnSpPr>
                          <a:cNvPr id="51" name="直接连接符 50"/>
                          <a:cNvCxnSpPr/>
                        </a:nvCxnSpPr>
                        <a:spPr bwMode="auto">
                          <a:xfrm>
                            <a:off x="4038600" y="3429000"/>
                            <a:ext cx="685800" cy="0"/>
                          </a:xfrm>
                          <a:prstGeom prst="line">
                            <a:avLst/>
                          </a:prstGeom>
                          <a:solidFill>
                            <a:schemeClr val="accent1"/>
                          </a:solidFill>
                          <a:ln w="19050" cap="flat" cmpd="sng" algn="ctr">
                            <a:solidFill>
                              <a:schemeClr val="tx1"/>
                            </a:solidFill>
                            <a:prstDash val="sysDash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</a:cxnSp>
                      <a:cxnSp>
                        <a:nvCxnSpPr>
                          <a:cNvPr id="52" name="直接连接符 51"/>
                          <a:cNvCxnSpPr/>
                        </a:nvCxnSpPr>
                        <a:spPr bwMode="auto">
                          <a:xfrm>
                            <a:off x="4038600" y="3581400"/>
                            <a:ext cx="685800" cy="0"/>
                          </a:xfrm>
                          <a:prstGeom prst="line">
                            <a:avLst/>
                          </a:prstGeom>
                          <a:solidFill>
                            <a:schemeClr val="accent1"/>
                          </a:solidFill>
                          <a:ln w="19050" cap="flat" cmpd="sng" algn="ctr">
                            <a:solidFill>
                              <a:schemeClr val="tx1"/>
                            </a:solidFill>
                            <a:prstDash val="sysDash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</a:cxnSp>
                      <a:cxnSp>
                        <a:nvCxnSpPr>
                          <a:cNvPr id="53" name="直接连接符 52"/>
                          <a:cNvCxnSpPr/>
                        </a:nvCxnSpPr>
                        <a:spPr bwMode="auto">
                          <a:xfrm>
                            <a:off x="4038600" y="3733800"/>
                            <a:ext cx="685800" cy="0"/>
                          </a:xfrm>
                          <a:prstGeom prst="line">
                            <a:avLst/>
                          </a:prstGeom>
                          <a:solidFill>
                            <a:schemeClr val="accent1"/>
                          </a:solidFill>
                          <a:ln w="19050" cap="flat" cmpd="sng" algn="ctr">
                            <a:solidFill>
                              <a:schemeClr val="tx1"/>
                            </a:solidFill>
                            <a:prstDash val="sysDash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</a:cxnSp>
                      <a:cxnSp>
                        <a:nvCxnSpPr>
                          <a:cNvPr id="78" name="直接连接符 77"/>
                          <a:cNvCxnSpPr/>
                        </a:nvCxnSpPr>
                        <a:spPr bwMode="auto">
                          <a:xfrm>
                            <a:off x="4038600" y="2971800"/>
                            <a:ext cx="685800" cy="0"/>
                          </a:xfrm>
                          <a:prstGeom prst="line">
                            <a:avLst/>
                          </a:prstGeom>
                          <a:solidFill>
                            <a:schemeClr val="accent1"/>
                          </a:solidFill>
                          <a:ln w="19050" cap="flat" cmpd="sng" algn="ctr">
                            <a:solidFill>
                              <a:schemeClr val="tx1"/>
                            </a:solidFill>
                            <a:prstDash val="sysDash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</a:cxnSp>
                      <a:cxnSp>
                        <a:nvCxnSpPr>
                          <a:cNvPr id="151" name="直接连接符 150"/>
                          <a:cNvCxnSpPr/>
                        </a:nvCxnSpPr>
                        <a:spPr bwMode="auto">
                          <a:xfrm>
                            <a:off x="3962400" y="3810000"/>
                            <a:ext cx="914400" cy="0"/>
                          </a:xfrm>
                          <a:prstGeom prst="line">
                            <a:avLst/>
                          </a:prstGeom>
                          <a:solidFill>
                            <a:schemeClr val="accent1"/>
                          </a:solidFill>
                          <a:ln w="1905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</a:cxnSp>
                    </a:grpSp>
                    <a:cxnSp>
                      <a:nvCxnSpPr>
                        <a:cNvPr id="153" name="直接连接符 152"/>
                        <a:cNvCxnSpPr/>
                      </a:nvCxnSpPr>
                      <a:spPr bwMode="auto">
                        <a:xfrm>
                          <a:off x="4267200" y="3733800"/>
                          <a:ext cx="0" cy="15240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154" name="直接连接符 153"/>
                        <a:cNvCxnSpPr/>
                      </a:nvCxnSpPr>
                      <a:spPr bwMode="auto">
                        <a:xfrm>
                          <a:off x="4648200" y="3733800"/>
                          <a:ext cx="0" cy="15240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159" name="直接连接符 158"/>
                        <a:cNvCxnSpPr/>
                      </a:nvCxnSpPr>
                      <a:spPr bwMode="auto">
                        <a:xfrm>
                          <a:off x="4191000" y="2438400"/>
                          <a:ext cx="0" cy="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161" name="直接连接符 160"/>
                        <a:cNvCxnSpPr/>
                      </a:nvCxnSpPr>
                      <a:spPr bwMode="auto">
                        <a:xfrm>
                          <a:off x="4191000" y="2438400"/>
                          <a:ext cx="0" cy="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grpSp>
                      <a:nvGrpSpPr>
                        <a:cNvPr id="29" name="组合 78"/>
                        <a:cNvGrpSpPr/>
                      </a:nvGrpSpPr>
                      <a:grpSpPr>
                        <a:xfrm>
                          <a:off x="4343400" y="1981200"/>
                          <a:ext cx="76200" cy="493200"/>
                          <a:chOff x="4267200" y="2057400"/>
                          <a:chExt cx="76200" cy="493200"/>
                        </a:xfrm>
                      </a:grpSpPr>
                      <a:cxnSp>
                        <a:nvCxnSpPr>
                          <a:cNvPr id="171" name="直接连接符 170"/>
                          <a:cNvCxnSpPr/>
                        </a:nvCxnSpPr>
                        <a:spPr bwMode="auto">
                          <a:xfrm>
                            <a:off x="4267200" y="2362200"/>
                            <a:ext cx="76200" cy="0"/>
                          </a:xfrm>
                          <a:prstGeom prst="line">
                            <a:avLst/>
                          </a:prstGeom>
                          <a:solidFill>
                            <a:schemeClr val="accent1"/>
                          </a:solidFill>
                          <a:ln w="19050" cap="flat" cmpd="sng" algn="ctr">
                            <a:solidFill>
                              <a:schemeClr val="tx1"/>
                            </a:solidFill>
                            <a:prstDash val="sysDot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</a:cxnSp>
                      <a:grpSp>
                        <a:nvGrpSpPr>
                          <a:cNvPr id="74" name="组合 76"/>
                          <a:cNvGrpSpPr/>
                        </a:nvGrpSpPr>
                        <a:grpSpPr>
                          <a:xfrm>
                            <a:off x="4267200" y="2057400"/>
                            <a:ext cx="76200" cy="493200"/>
                            <a:chOff x="4114800" y="2057400"/>
                            <a:chExt cx="76200" cy="493200"/>
                          </a:xfrm>
                        </a:grpSpPr>
                        <a:cxnSp>
                          <a:nvCxnSpPr>
                            <a:cNvPr id="156" name="直接连接符 155"/>
                            <a:cNvCxnSpPr/>
                          </a:nvCxnSpPr>
                          <a:spPr bwMode="auto">
                            <a:xfrm>
                              <a:off x="4114800" y="2057400"/>
                              <a:ext cx="0" cy="457200"/>
                            </a:xfrm>
                            <a:prstGeom prst="line">
                              <a:avLst/>
                            </a:prstGeom>
                            <a:solidFill>
                              <a:schemeClr val="accent1"/>
                            </a:solidFill>
                            <a:ln w="1905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a:spPr>
                        </a:cxnSp>
                        <a:cxnSp>
                          <a:nvCxnSpPr>
                            <a:cNvPr id="157" name="直接连接符 156"/>
                            <a:cNvCxnSpPr/>
                          </a:nvCxnSpPr>
                          <a:spPr bwMode="auto">
                            <a:xfrm>
                              <a:off x="4191000" y="2057400"/>
                              <a:ext cx="0" cy="457200"/>
                            </a:xfrm>
                            <a:prstGeom prst="line">
                              <a:avLst/>
                            </a:prstGeom>
                            <a:solidFill>
                              <a:schemeClr val="accent1"/>
                            </a:solidFill>
                            <a:ln w="1905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a:spPr>
                        </a:cxnSp>
                        <a:cxnSp>
                          <a:nvCxnSpPr>
                            <a:cNvPr id="163" name="直接连接符 162"/>
                            <a:cNvCxnSpPr/>
                          </a:nvCxnSpPr>
                          <a:spPr bwMode="auto">
                            <a:xfrm>
                              <a:off x="4114800" y="2514600"/>
                              <a:ext cx="36000" cy="36000"/>
                            </a:xfrm>
                            <a:prstGeom prst="line">
                              <a:avLst/>
                            </a:prstGeom>
                            <a:solidFill>
                              <a:schemeClr val="accent1"/>
                            </a:solidFill>
                            <a:ln w="1905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a:spPr>
                        </a:cxnSp>
                        <a:cxnSp>
                          <a:nvCxnSpPr>
                            <a:cNvPr id="166" name="直接连接符 165"/>
                            <a:cNvCxnSpPr/>
                          </a:nvCxnSpPr>
                          <a:spPr bwMode="auto">
                            <a:xfrm flipH="1">
                              <a:off x="4155000" y="2514600"/>
                              <a:ext cx="36000" cy="36000"/>
                            </a:xfrm>
                            <a:prstGeom prst="line">
                              <a:avLst/>
                            </a:prstGeom>
                            <a:solidFill>
                              <a:schemeClr val="accent1"/>
                            </a:solidFill>
                            <a:ln w="1905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a:spPr>
                        </a:cxnSp>
                        <a:cxnSp>
                          <a:nvCxnSpPr>
                            <a:cNvPr id="168" name="直接连接符 167"/>
                            <a:cNvCxnSpPr/>
                          </a:nvCxnSpPr>
                          <a:spPr bwMode="auto">
                            <a:xfrm>
                              <a:off x="4114800" y="2133600"/>
                              <a:ext cx="76200" cy="0"/>
                            </a:xfrm>
                            <a:prstGeom prst="line">
                              <a:avLst/>
                            </a:prstGeom>
                            <a:solidFill>
                              <a:schemeClr val="accent1"/>
                            </a:solidFill>
                            <a:ln w="19050" cap="flat" cmpd="sng" algn="ctr">
                              <a:solidFill>
                                <a:schemeClr val="tx1"/>
                              </a:solidFill>
                              <a:prstDash val="sysDot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a:spPr>
                        </a:cxnSp>
                        <a:cxnSp>
                          <a:nvCxnSpPr>
                            <a:cNvPr id="169" name="直接连接符 168"/>
                            <a:cNvCxnSpPr/>
                          </a:nvCxnSpPr>
                          <a:spPr bwMode="auto">
                            <a:xfrm>
                              <a:off x="4114800" y="2209800"/>
                              <a:ext cx="76200" cy="0"/>
                            </a:xfrm>
                            <a:prstGeom prst="line">
                              <a:avLst/>
                            </a:prstGeom>
                            <a:solidFill>
                              <a:schemeClr val="accent1"/>
                            </a:solidFill>
                            <a:ln w="19050" cap="flat" cmpd="sng" algn="ctr">
                              <a:solidFill>
                                <a:schemeClr val="tx1"/>
                              </a:solidFill>
                              <a:prstDash val="sysDot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a:spPr>
                        </a:cxnSp>
                        <a:cxnSp>
                          <a:nvCxnSpPr>
                            <a:cNvPr id="170" name="直接连接符 169"/>
                            <a:cNvCxnSpPr/>
                          </a:nvCxnSpPr>
                          <a:spPr bwMode="auto">
                            <a:xfrm>
                              <a:off x="4114800" y="2286000"/>
                              <a:ext cx="76200" cy="0"/>
                            </a:xfrm>
                            <a:prstGeom prst="line">
                              <a:avLst/>
                            </a:prstGeom>
                            <a:solidFill>
                              <a:schemeClr val="accent1"/>
                            </a:solidFill>
                            <a:ln w="19050" cap="flat" cmpd="sng" algn="ctr">
                              <a:solidFill>
                                <a:schemeClr val="tx1"/>
                              </a:solidFill>
                              <a:prstDash val="sysDot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a:spPr>
                        </a:cxnSp>
                        <a:cxnSp>
                          <a:nvCxnSpPr>
                            <a:cNvPr id="172" name="直接连接符 171"/>
                            <a:cNvCxnSpPr/>
                          </a:nvCxnSpPr>
                          <a:spPr bwMode="auto">
                            <a:xfrm>
                              <a:off x="4114800" y="2438400"/>
                              <a:ext cx="76200" cy="0"/>
                            </a:xfrm>
                            <a:prstGeom prst="line">
                              <a:avLst/>
                            </a:prstGeom>
                            <a:solidFill>
                              <a:schemeClr val="accent1"/>
                            </a:solidFill>
                            <a:ln w="19050" cap="flat" cmpd="sng" algn="ctr">
                              <a:solidFill>
                                <a:schemeClr val="tx1"/>
                              </a:solidFill>
                              <a:prstDash val="sysDot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a:spPr>
                        </a:cxnSp>
                        <a:cxnSp>
                          <a:nvCxnSpPr>
                            <a:cNvPr id="173" name="直接连接符 172"/>
                            <a:cNvCxnSpPr/>
                          </a:nvCxnSpPr>
                          <a:spPr bwMode="auto">
                            <a:xfrm>
                              <a:off x="4114800" y="2514600"/>
                              <a:ext cx="76200" cy="0"/>
                            </a:xfrm>
                            <a:prstGeom prst="line">
                              <a:avLst/>
                            </a:prstGeom>
                            <a:solidFill>
                              <a:schemeClr val="accent1"/>
                            </a:solidFill>
                            <a:ln w="19050" cap="flat" cmpd="sng" algn="ctr">
                              <a:solidFill>
                                <a:schemeClr val="tx1"/>
                              </a:solidFill>
                              <a:prstDash val="sysDot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a:spPr>
                        </a:cxnSp>
                      </a:grpSp>
                    </a:grpSp>
                    <a:cxnSp>
                      <a:nvCxnSpPr>
                        <a:cNvPr id="82" name="直接连接符 81"/>
                        <a:cNvCxnSpPr/>
                      </a:nvCxnSpPr>
                      <a:spPr bwMode="auto">
                        <a:xfrm>
                          <a:off x="2514600" y="2664619"/>
                          <a:ext cx="0" cy="99060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83" name="直接连接符 82"/>
                        <a:cNvCxnSpPr/>
                      </a:nvCxnSpPr>
                      <a:spPr bwMode="auto">
                        <a:xfrm>
                          <a:off x="3200400" y="2664619"/>
                          <a:ext cx="0" cy="99060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sp>
                      <a:nvSpPr>
                        <a:cNvPr id="84" name="任意多边形 83"/>
                        <a:cNvSpPr/>
                      </a:nvSpPr>
                      <a:spPr bwMode="auto">
                        <a:xfrm>
                          <a:off x="2514600" y="3652838"/>
                          <a:ext cx="78581" cy="80962"/>
                        </a:xfrm>
                        <a:custGeom>
                          <a:avLst/>
                          <a:gdLst>
                            <a:gd name="connsiteX0" fmla="*/ 0 w 78581"/>
                            <a:gd name="connsiteY0" fmla="*/ 0 h 80962"/>
                            <a:gd name="connsiteX1" fmla="*/ 30956 w 78581"/>
                            <a:gd name="connsiteY1" fmla="*/ 61912 h 80962"/>
                            <a:gd name="connsiteX2" fmla="*/ 30956 w 78581"/>
                            <a:gd name="connsiteY2" fmla="*/ 61912 h 80962"/>
                            <a:gd name="connsiteX3" fmla="*/ 78581 w 78581"/>
                            <a:gd name="connsiteY3" fmla="*/ 80962 h 8096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78581" h="80962">
                              <a:moveTo>
                                <a:pt x="0" y="0"/>
                              </a:moveTo>
                              <a:lnTo>
                                <a:pt x="30956" y="61912"/>
                              </a:lnTo>
                              <a:lnTo>
                                <a:pt x="30956" y="61912"/>
                              </a:lnTo>
                              <a:lnTo>
                                <a:pt x="78581" y="80962"/>
                              </a:lnTo>
                            </a:path>
                          </a:pathLst>
                        </a:custGeom>
                        <a:solidFill>
                          <a:schemeClr val="bg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1440" tIns="45720" rIns="91440" bIns="45720" numCol="1" rtlCol="0" anchor="t" anchorCtr="0" compatLnSpc="1"/>
                          <a:lstStyle>
                            <a:defPPr>
                              <a:defRPr lang="en-US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914400" rtl="0" eaLnBrk="0" fontAlgn="base" latinLnBrk="0" hangingPunct="0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Tx/>
                              <a:buSzTx/>
                              <a:buFontTx/>
                              <a:buNone/>
                            </a:pPr>
                            <a:endParaRPr kumimoji="0" lang="zh-CN" alt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anose="020B0604020202020204" pitchFamily="2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85" name="任意多边形 84"/>
                        <a:cNvSpPr/>
                      </a:nvSpPr>
                      <a:spPr bwMode="auto">
                        <a:xfrm>
                          <a:off x="3124200" y="3657600"/>
                          <a:ext cx="78581" cy="73819"/>
                        </a:xfrm>
                        <a:custGeom>
                          <a:avLst/>
                          <a:gdLst>
                            <a:gd name="connsiteX0" fmla="*/ 64293 w 64293"/>
                            <a:gd name="connsiteY0" fmla="*/ 0 h 73819"/>
                            <a:gd name="connsiteX1" fmla="*/ 42862 w 64293"/>
                            <a:gd name="connsiteY1" fmla="*/ 45244 h 73819"/>
                            <a:gd name="connsiteX2" fmla="*/ 0 w 64293"/>
                            <a:gd name="connsiteY2" fmla="*/ 73819 h 7381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64293" h="73819">
                              <a:moveTo>
                                <a:pt x="64293" y="0"/>
                              </a:moveTo>
                              <a:cubicBezTo>
                                <a:pt x="58935" y="16470"/>
                                <a:pt x="53577" y="32941"/>
                                <a:pt x="42862" y="45244"/>
                              </a:cubicBezTo>
                              <a:cubicBezTo>
                                <a:pt x="32147" y="57547"/>
                                <a:pt x="16073" y="65683"/>
                                <a:pt x="0" y="73819"/>
                              </a:cubicBezTo>
                            </a:path>
                          </a:pathLst>
                        </a:custGeom>
                        <a:solidFill>
                          <a:schemeClr val="bg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1440" tIns="45720" rIns="91440" bIns="45720" numCol="1" rtlCol="0" anchor="t" anchorCtr="0" compatLnSpc="1"/>
                          <a:lstStyle>
                            <a:defPPr>
                              <a:defRPr lang="en-US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914400" rtl="0" eaLnBrk="0" fontAlgn="base" latinLnBrk="0" hangingPunct="0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Tx/>
                              <a:buSzTx/>
                              <a:buFontTx/>
                              <a:buNone/>
                            </a:pPr>
                            <a:endParaRPr kumimoji="0" lang="zh-CN" alt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anose="020B0604020202020204" pitchFamily="2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86" name="直接连接符 85"/>
                        <a:cNvCxnSpPr/>
                      </a:nvCxnSpPr>
                      <a:spPr bwMode="auto">
                        <a:xfrm>
                          <a:off x="2438400" y="2588419"/>
                          <a:ext cx="838200" cy="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sp>
                      <a:nvSpPr>
                        <a:cNvPr id="88" name="任意多边形 87"/>
                        <a:cNvSpPr/>
                      </a:nvSpPr>
                      <a:spPr bwMode="auto">
                        <a:xfrm>
                          <a:off x="2443163" y="2588419"/>
                          <a:ext cx="73818" cy="90488"/>
                        </a:xfrm>
                        <a:custGeom>
                          <a:avLst/>
                          <a:gdLst>
                            <a:gd name="connsiteX0" fmla="*/ 0 w 73818"/>
                            <a:gd name="connsiteY0" fmla="*/ 0 h 90488"/>
                            <a:gd name="connsiteX1" fmla="*/ 54768 w 73818"/>
                            <a:gd name="connsiteY1" fmla="*/ 38100 h 90488"/>
                            <a:gd name="connsiteX2" fmla="*/ 73818 w 73818"/>
                            <a:gd name="connsiteY2" fmla="*/ 90488 h 9048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73818" h="90488">
                              <a:moveTo>
                                <a:pt x="0" y="0"/>
                              </a:moveTo>
                              <a:cubicBezTo>
                                <a:pt x="21232" y="11509"/>
                                <a:pt x="42465" y="23019"/>
                                <a:pt x="54768" y="38100"/>
                              </a:cubicBezTo>
                              <a:cubicBezTo>
                                <a:pt x="67071" y="53181"/>
                                <a:pt x="70444" y="71834"/>
                                <a:pt x="73818" y="90488"/>
                              </a:cubicBezTo>
                            </a:path>
                          </a:pathLst>
                        </a:custGeom>
                        <a:solidFill>
                          <a:schemeClr val="bg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1440" tIns="45720" rIns="91440" bIns="45720" numCol="1" rtlCol="0" anchor="t" anchorCtr="0" compatLnSpc="1"/>
                          <a:lstStyle>
                            <a:defPPr>
                              <a:defRPr lang="en-US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914400" rtl="0" eaLnBrk="0" fontAlgn="base" latinLnBrk="0" hangingPunct="0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Tx/>
                              <a:buSzTx/>
                              <a:buFontTx/>
                              <a:buNone/>
                            </a:pPr>
                            <a:endParaRPr kumimoji="0" lang="zh-CN" alt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anose="020B0604020202020204" pitchFamily="2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89" name="任意多边形 88"/>
                        <a:cNvSpPr/>
                      </a:nvSpPr>
                      <a:spPr bwMode="auto">
                        <a:xfrm>
                          <a:off x="3200401" y="2590800"/>
                          <a:ext cx="71438" cy="85725"/>
                        </a:xfrm>
                        <a:custGeom>
                          <a:avLst/>
                          <a:gdLst>
                            <a:gd name="connsiteX0" fmla="*/ 69057 w 69057"/>
                            <a:gd name="connsiteY0" fmla="*/ 0 h 85725"/>
                            <a:gd name="connsiteX1" fmla="*/ 16669 w 69057"/>
                            <a:gd name="connsiteY1" fmla="*/ 21432 h 85725"/>
                            <a:gd name="connsiteX2" fmla="*/ 0 w 69057"/>
                            <a:gd name="connsiteY2" fmla="*/ 85725 h 857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69057" h="85725">
                              <a:moveTo>
                                <a:pt x="69057" y="0"/>
                              </a:moveTo>
                              <a:cubicBezTo>
                                <a:pt x="48617" y="3572"/>
                                <a:pt x="28178" y="7145"/>
                                <a:pt x="16669" y="21432"/>
                              </a:cubicBezTo>
                              <a:cubicBezTo>
                                <a:pt x="5160" y="35719"/>
                                <a:pt x="2580" y="60722"/>
                                <a:pt x="0" y="85725"/>
                              </a:cubicBezTo>
                            </a:path>
                          </a:pathLst>
                        </a:custGeom>
                        <a:solidFill>
                          <a:schemeClr val="bg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1440" tIns="45720" rIns="91440" bIns="45720" numCol="1" rtlCol="0" anchor="t" anchorCtr="0" compatLnSpc="1"/>
                          <a:lstStyle>
                            <a:defPPr>
                              <a:defRPr lang="en-US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914400" rtl="0" eaLnBrk="0" fontAlgn="base" latinLnBrk="0" hangingPunct="0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Tx/>
                              <a:buSzTx/>
                              <a:buFontTx/>
                              <a:buNone/>
                            </a:pPr>
                            <a:endParaRPr kumimoji="0" lang="zh-CN" altLang="en-US" sz="1800" b="0" i="0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Arial" panose="020B0604020202020204" pitchFamily="2" charset="0"/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90" name="直接连接符 89"/>
                        <a:cNvCxnSpPr/>
                      </a:nvCxnSpPr>
                      <a:spPr bwMode="auto">
                        <a:xfrm>
                          <a:off x="2514600" y="3045619"/>
                          <a:ext cx="685800" cy="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ysDash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91" name="直接连接符 90"/>
                        <a:cNvCxnSpPr/>
                      </a:nvCxnSpPr>
                      <a:spPr bwMode="auto">
                        <a:xfrm>
                          <a:off x="2514600" y="3198019"/>
                          <a:ext cx="685800" cy="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ysDash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92" name="直接连接符 91"/>
                        <a:cNvCxnSpPr/>
                      </a:nvCxnSpPr>
                      <a:spPr bwMode="auto">
                        <a:xfrm>
                          <a:off x="2514600" y="3350419"/>
                          <a:ext cx="685800" cy="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ysDash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93" name="直接连接符 92"/>
                        <a:cNvCxnSpPr/>
                      </a:nvCxnSpPr>
                      <a:spPr bwMode="auto">
                        <a:xfrm>
                          <a:off x="2514600" y="3502819"/>
                          <a:ext cx="685800" cy="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ysDash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94" name="直接连接符 93"/>
                        <a:cNvCxnSpPr/>
                      </a:nvCxnSpPr>
                      <a:spPr bwMode="auto">
                        <a:xfrm>
                          <a:off x="2514600" y="3655219"/>
                          <a:ext cx="685800" cy="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38100" cap="flat" cmpd="sng" algn="ctr">
                          <a:solidFill>
                            <a:schemeClr val="tx1"/>
                          </a:solidFill>
                          <a:prstDash val="sysDot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96" name="直接连接符 95"/>
                        <a:cNvCxnSpPr/>
                      </a:nvCxnSpPr>
                      <a:spPr bwMode="auto">
                        <a:xfrm>
                          <a:off x="2514600" y="2893219"/>
                          <a:ext cx="685800" cy="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ysDash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100" name="直接连接符 99"/>
                        <a:cNvCxnSpPr>
                          <a:stCxn id="84" idx="3"/>
                        </a:cNvCxnSpPr>
                      </a:nvCxnSpPr>
                      <a:spPr bwMode="auto">
                        <a:xfrm>
                          <a:off x="2593181" y="3733800"/>
                          <a:ext cx="531019" cy="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106" name="直接连接符 105"/>
                        <a:cNvCxnSpPr/>
                      </a:nvCxnSpPr>
                      <a:spPr bwMode="auto">
                        <a:xfrm>
                          <a:off x="2590800" y="2438400"/>
                          <a:ext cx="0" cy="60960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2857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134" name="直接连接符 133"/>
                        <a:cNvCxnSpPr/>
                      </a:nvCxnSpPr>
                      <a:spPr bwMode="auto">
                        <a:xfrm>
                          <a:off x="3048000" y="2438400"/>
                          <a:ext cx="0" cy="60960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2857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140" name="直接连接符 139"/>
                        <a:cNvCxnSpPr/>
                      </a:nvCxnSpPr>
                      <a:spPr bwMode="auto">
                        <a:xfrm>
                          <a:off x="3048000" y="2438400"/>
                          <a:ext cx="1219200" cy="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2857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142" name="直接连接符 141"/>
                        <a:cNvCxnSpPr/>
                      </a:nvCxnSpPr>
                      <a:spPr bwMode="auto">
                        <a:xfrm>
                          <a:off x="4267200" y="2438400"/>
                          <a:ext cx="0" cy="60960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2857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158" name="直接连接符 157"/>
                        <a:cNvCxnSpPr/>
                      </a:nvCxnSpPr>
                      <a:spPr bwMode="auto">
                        <a:xfrm flipH="1">
                          <a:off x="1752600" y="2438400"/>
                          <a:ext cx="838200" cy="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175" name="直接连接符 174"/>
                        <a:cNvCxnSpPr/>
                      </a:nvCxnSpPr>
                      <a:spPr bwMode="auto">
                        <a:xfrm>
                          <a:off x="1752600" y="2438400"/>
                          <a:ext cx="0" cy="198120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180" name="直接连接符 179"/>
                        <a:cNvCxnSpPr/>
                      </a:nvCxnSpPr>
                      <a:spPr bwMode="auto">
                        <a:xfrm>
                          <a:off x="1752600" y="4419600"/>
                          <a:ext cx="3352800" cy="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182" name="直接连接符 181"/>
                        <a:cNvCxnSpPr/>
                      </a:nvCxnSpPr>
                      <a:spPr bwMode="auto">
                        <a:xfrm flipV="1">
                          <a:off x="5105400" y="4038600"/>
                          <a:ext cx="0" cy="38100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190" name="直接连接符 189"/>
                        <a:cNvCxnSpPr/>
                      </a:nvCxnSpPr>
                      <a:spPr bwMode="auto">
                        <a:xfrm>
                          <a:off x="5105400" y="4038600"/>
                          <a:ext cx="457200" cy="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193" name="直接连接符 192"/>
                        <a:cNvCxnSpPr/>
                      </a:nvCxnSpPr>
                      <a:spPr bwMode="auto">
                        <a:xfrm flipH="1">
                          <a:off x="5105400" y="3886200"/>
                          <a:ext cx="457200" cy="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198" name="直接连接符 197"/>
                        <a:cNvCxnSpPr/>
                      </a:nvCxnSpPr>
                      <a:spPr bwMode="auto">
                        <a:xfrm flipV="1">
                          <a:off x="5105400" y="2514600"/>
                          <a:ext cx="0" cy="137160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206" name="直接连接符 205"/>
                        <a:cNvCxnSpPr/>
                      </a:nvCxnSpPr>
                      <a:spPr bwMode="auto">
                        <a:xfrm>
                          <a:off x="4648200" y="2514600"/>
                          <a:ext cx="457200" cy="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209" name="直接连接符 208"/>
                        <a:cNvCxnSpPr/>
                      </a:nvCxnSpPr>
                      <a:spPr bwMode="auto">
                        <a:xfrm flipH="1" flipV="1">
                          <a:off x="2286000" y="2590800"/>
                          <a:ext cx="304800" cy="15240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211" name="直接连接符 210"/>
                        <a:cNvCxnSpPr/>
                      </a:nvCxnSpPr>
                      <a:spPr bwMode="auto">
                        <a:xfrm flipH="1" flipV="1">
                          <a:off x="3276600" y="2133600"/>
                          <a:ext cx="228600" cy="30480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213" name="直接连接符 212"/>
                        <a:cNvCxnSpPr/>
                      </a:nvCxnSpPr>
                      <a:spPr bwMode="auto">
                        <a:xfrm flipH="1" flipV="1">
                          <a:off x="2362200" y="3352800"/>
                          <a:ext cx="381000" cy="22860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216" name="直接连接符 215"/>
                        <a:cNvCxnSpPr/>
                      </a:nvCxnSpPr>
                      <a:spPr bwMode="auto">
                        <a:xfrm flipH="1" flipV="1">
                          <a:off x="4191000" y="1981200"/>
                          <a:ext cx="152400" cy="22860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218" name="直接连接符 217"/>
                        <a:cNvCxnSpPr/>
                      </a:nvCxnSpPr>
                      <a:spPr bwMode="auto">
                        <a:xfrm flipV="1">
                          <a:off x="4648200" y="2819400"/>
                          <a:ext cx="304800" cy="7620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220" name="直接连接符 219"/>
                        <a:cNvCxnSpPr/>
                      </a:nvCxnSpPr>
                      <a:spPr bwMode="auto">
                        <a:xfrm flipV="1">
                          <a:off x="5867400" y="3581400"/>
                          <a:ext cx="228600" cy="15240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226" name="直接连接符 225"/>
                        <a:cNvCxnSpPr/>
                      </a:nvCxnSpPr>
                      <a:spPr bwMode="auto">
                        <a:xfrm flipH="1" flipV="1">
                          <a:off x="3962400" y="3505200"/>
                          <a:ext cx="457200" cy="15240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228" name="直接连接符 227"/>
                        <a:cNvCxnSpPr>
                          <a:stCxn id="136" idx="1"/>
                        </a:cNvCxnSpPr>
                      </a:nvCxnSpPr>
                      <a:spPr bwMode="auto">
                        <a:xfrm flipH="1" flipV="1">
                          <a:off x="3810000" y="3886200"/>
                          <a:ext cx="304800" cy="19050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sp>
                      <a:nvSpPr>
                        <a:cNvPr id="229" name="TextBox 228"/>
                        <a:cNvSpPr txBox="1"/>
                      </a:nvSpPr>
                      <a:spPr>
                        <a:xfrm>
                          <a:off x="1981200" y="3200400"/>
                          <a:ext cx="312906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dirty="0" smtClean="0"/>
                              <a:t>1</a:t>
                            </a:r>
                            <a:endParaRPr lang="zh-CN" altLang="en-US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30" name="TextBox 229"/>
                        <a:cNvSpPr txBox="1"/>
                      </a:nvSpPr>
                      <a:spPr>
                        <a:xfrm>
                          <a:off x="1981200" y="2438400"/>
                          <a:ext cx="312906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dirty="0" smtClean="0"/>
                              <a:t>2</a:t>
                            </a:r>
                            <a:endParaRPr lang="zh-CN" altLang="en-US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31" name="TextBox 230"/>
                        <a:cNvSpPr txBox="1"/>
                      </a:nvSpPr>
                      <a:spPr>
                        <a:xfrm>
                          <a:off x="2971800" y="1981200"/>
                          <a:ext cx="312906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dirty="0" smtClean="0"/>
                              <a:t>3</a:t>
                            </a:r>
                            <a:endParaRPr lang="zh-CN" altLang="en-US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32" name="TextBox 231"/>
                        <a:cNvSpPr txBox="1"/>
                      </a:nvSpPr>
                      <a:spPr>
                        <a:xfrm>
                          <a:off x="3886200" y="1828800"/>
                          <a:ext cx="312906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dirty="0" smtClean="0"/>
                              <a:t>4</a:t>
                            </a:r>
                            <a:endParaRPr lang="zh-CN" altLang="en-US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33" name="TextBox 232"/>
                        <a:cNvSpPr txBox="1"/>
                      </a:nvSpPr>
                      <a:spPr>
                        <a:xfrm>
                          <a:off x="4800600" y="2667000"/>
                          <a:ext cx="312906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dirty="0" smtClean="0"/>
                              <a:t>5</a:t>
                            </a:r>
                            <a:endParaRPr lang="zh-CN" altLang="en-US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34" name="TextBox 233"/>
                        <a:cNvSpPr txBox="1"/>
                      </a:nvSpPr>
                      <a:spPr>
                        <a:xfrm>
                          <a:off x="6096000" y="3352800"/>
                          <a:ext cx="312906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dirty="0" smtClean="0"/>
                              <a:t>6</a:t>
                            </a:r>
                            <a:endParaRPr lang="zh-CN" altLang="en-US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35" name="TextBox 234"/>
                        <a:cNvSpPr txBox="1"/>
                      </a:nvSpPr>
                      <a:spPr>
                        <a:xfrm>
                          <a:off x="3657600" y="3276600"/>
                          <a:ext cx="312906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dirty="0" smtClean="0"/>
                              <a:t>7</a:t>
                            </a:r>
                            <a:endParaRPr lang="zh-CN" altLang="en-US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36" name="TextBox 235"/>
                        <a:cNvSpPr txBox="1"/>
                      </a:nvSpPr>
                      <a:spPr>
                        <a:xfrm>
                          <a:off x="3581400" y="3733800"/>
                          <a:ext cx="312906" cy="369332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panose="020B0604020202020204" pitchFamily="2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zh-CN" dirty="0" smtClean="0"/>
                              <a:t>8</a:t>
                            </a:r>
                            <a:endParaRPr lang="zh-CN" altLang="en-US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239" name="直接连接符 238"/>
                        <a:cNvCxnSpPr/>
                      </a:nvCxnSpPr>
                      <a:spPr bwMode="auto">
                        <a:xfrm>
                          <a:off x="2514600" y="3581400"/>
                          <a:ext cx="685800" cy="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38100" cap="flat" cmpd="sng" algn="ctr">
                          <a:solidFill>
                            <a:schemeClr val="tx1"/>
                          </a:solidFill>
                          <a:prstDash val="sysDot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</a:grpSp>
                </lc:lockedCanvas>
              </a:graphicData>
            </a:graphic>
          </wp:inline>
        </w:drawing>
      </w:r>
    </w:p>
    <w:p>
      <w:pPr>
        <w:spacing w:line="360" w:lineRule="auto"/>
        <w:jc w:val="center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</w:rPr>
        <w:t>图3电位滴定装置示意图（测氯含量）</w:t>
      </w:r>
    </w:p>
    <w:p>
      <w:pPr>
        <w:spacing w:line="360" w:lineRule="auto"/>
        <w:jc w:val="center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1-氯化银沉淀；2-参比电极；3-盐桥；4-标准溶液加入装置；</w:t>
      </w:r>
    </w:p>
    <w:p>
      <w:pPr>
        <w:spacing w:line="360" w:lineRule="auto"/>
        <w:jc w:val="center"/>
        <w:rPr>
          <w:rFonts w:hint="eastAsia"/>
          <w:szCs w:val="21"/>
        </w:rPr>
      </w:pPr>
      <w:r>
        <w:rPr>
          <w:rFonts w:hint="eastAsia" w:ascii="宋体" w:hAnsi="宋体" w:eastAsia="宋体" w:cs="宋体"/>
          <w:sz w:val="18"/>
          <w:szCs w:val="18"/>
        </w:rPr>
        <w:t>5-指示电极；6-数字式离子计；7-搅拌子；8-搅拌器</w:t>
      </w:r>
    </w:p>
    <w:p>
      <w:pPr>
        <w:spacing w:line="360" w:lineRule="auto"/>
        <w:jc w:val="center"/>
        <w:rPr>
          <w:szCs w:val="21"/>
        </w:rPr>
      </w:pPr>
    </w:p>
    <w:p>
      <w:pPr>
        <w:spacing w:line="360" w:lineRule="auto"/>
        <w:rPr>
          <w:rFonts w:hint="eastAsia" w:ascii="黑体" w:hAnsi="黑体" w:eastAsia="黑体" w:cs="黑体"/>
          <w:kern w:val="0"/>
          <w:sz w:val="24"/>
          <w:szCs w:val="24"/>
        </w:rPr>
      </w:pPr>
      <w:bookmarkStart w:id="27" w:name="_Toc29712_WPSOffice_Level1"/>
      <w:r>
        <w:rPr>
          <w:rFonts w:hint="eastAsia" w:ascii="黑体" w:hAnsi="黑体" w:eastAsia="黑体" w:cs="黑体"/>
          <w:kern w:val="0"/>
          <w:sz w:val="24"/>
          <w:szCs w:val="24"/>
        </w:rPr>
        <w:t>4 计量特性</w:t>
      </w:r>
      <w:bookmarkEnd w:id="27"/>
    </w:p>
    <w:p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示值重复性与示值误差的技术指标见表1。</w:t>
      </w:r>
    </w:p>
    <w:p>
      <w:pPr>
        <w:spacing w:line="360" w:lineRule="auto"/>
        <w:ind w:firstLine="480" w:firstLineChars="200"/>
        <w:rPr>
          <w:sz w:val="24"/>
          <w:szCs w:val="24"/>
        </w:rPr>
      </w:pPr>
    </w:p>
    <w:p>
      <w:pPr>
        <w:ind w:firstLine="3570" w:firstLineChars="1700"/>
        <w:rPr>
          <w:rFonts w:hint="eastAsia"/>
        </w:rPr>
      </w:pPr>
    </w:p>
    <w:p>
      <w:pPr>
        <w:ind w:firstLine="3570" w:firstLineChars="1700"/>
        <w:rPr>
          <w:rFonts w:hint="eastAsia"/>
        </w:rPr>
      </w:pPr>
    </w:p>
    <w:p/>
    <w:p>
      <w:pPr>
        <w:jc w:val="center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表1 计量特性</w:t>
      </w:r>
    </w:p>
    <w:tbl>
      <w:tblPr>
        <w:tblStyle w:val="28"/>
        <w:tblW w:w="733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9"/>
        <w:gridCol w:w="2341"/>
        <w:gridCol w:w="2378"/>
        <w:gridCol w:w="17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69" w:type="dxa"/>
          </w:tcPr>
          <w:p>
            <w:pPr>
              <w:pStyle w:val="52"/>
              <w:jc w:val="center"/>
              <w:rPr>
                <w:rFonts w:hAnsi="宋体"/>
                <w:color w:val="auto"/>
                <w:sz w:val="21"/>
                <w:szCs w:val="21"/>
              </w:rPr>
            </w:pPr>
            <w:r>
              <w:rPr>
                <w:rFonts w:hint="eastAsia" w:hAnsi="宋体"/>
                <w:color w:val="auto"/>
                <w:sz w:val="21"/>
                <w:szCs w:val="21"/>
              </w:rPr>
              <w:t>项目</w:t>
            </w:r>
          </w:p>
        </w:tc>
        <w:tc>
          <w:tcPr>
            <w:tcW w:w="2341" w:type="dxa"/>
          </w:tcPr>
          <w:p>
            <w:pPr>
              <w:pStyle w:val="52"/>
              <w:jc w:val="center"/>
              <w:rPr>
                <w:rFonts w:hAnsi="宋体"/>
                <w:color w:val="auto"/>
                <w:sz w:val="21"/>
                <w:szCs w:val="21"/>
              </w:rPr>
            </w:pPr>
            <w:r>
              <w:rPr>
                <w:rFonts w:hint="eastAsia" w:hAnsi="宋体"/>
                <w:color w:val="auto"/>
                <w:sz w:val="21"/>
                <w:szCs w:val="21"/>
              </w:rPr>
              <w:t>范围</w:t>
            </w:r>
          </w:p>
        </w:tc>
        <w:tc>
          <w:tcPr>
            <w:tcW w:w="2378" w:type="dxa"/>
          </w:tcPr>
          <w:p>
            <w:pPr>
              <w:pStyle w:val="52"/>
              <w:jc w:val="center"/>
              <w:rPr>
                <w:rFonts w:hAnsi="宋体"/>
                <w:color w:val="auto"/>
                <w:sz w:val="21"/>
                <w:szCs w:val="21"/>
              </w:rPr>
            </w:pPr>
            <w:r>
              <w:rPr>
                <w:rFonts w:hint="eastAsia" w:hAnsi="宋体"/>
                <w:color w:val="auto"/>
                <w:sz w:val="21"/>
                <w:szCs w:val="21"/>
              </w:rPr>
              <w:t>最大允许误差</w:t>
            </w:r>
          </w:p>
        </w:tc>
        <w:tc>
          <w:tcPr>
            <w:tcW w:w="1747" w:type="dxa"/>
          </w:tcPr>
          <w:p>
            <w:pPr>
              <w:pStyle w:val="52"/>
              <w:jc w:val="center"/>
              <w:rPr>
                <w:rFonts w:hAnsi="宋体"/>
                <w:color w:val="auto"/>
                <w:sz w:val="21"/>
                <w:szCs w:val="21"/>
              </w:rPr>
            </w:pPr>
            <w:r>
              <w:rPr>
                <w:rFonts w:hint="eastAsia" w:hAnsi="宋体"/>
                <w:color w:val="auto"/>
                <w:sz w:val="21"/>
                <w:szCs w:val="21"/>
              </w:rPr>
              <w:t>重复性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9" w:type="dxa"/>
            <w:vMerge w:val="restart"/>
            <w:vAlign w:val="center"/>
          </w:tcPr>
          <w:p>
            <w:pPr>
              <w:pStyle w:val="52"/>
              <w:jc w:val="center"/>
              <w:rPr>
                <w:rFonts w:hAnsi="宋体"/>
                <w:color w:val="auto"/>
                <w:sz w:val="21"/>
                <w:szCs w:val="21"/>
              </w:rPr>
            </w:pPr>
            <w:r>
              <w:rPr>
                <w:rFonts w:hint="eastAsia" w:hAnsi="宋体"/>
                <w:color w:val="auto"/>
                <w:sz w:val="21"/>
                <w:szCs w:val="21"/>
              </w:rPr>
              <w:t>氟</w:t>
            </w:r>
          </w:p>
        </w:tc>
        <w:tc>
          <w:tcPr>
            <w:tcW w:w="2341" w:type="dxa"/>
          </w:tcPr>
          <w:p>
            <w:pPr>
              <w:pStyle w:val="52"/>
              <w:jc w:val="center"/>
              <w:rPr>
                <w:rFonts w:hAnsi="宋体"/>
                <w:color w:val="auto"/>
                <w:sz w:val="21"/>
                <w:szCs w:val="21"/>
              </w:rPr>
            </w:pPr>
            <w:r>
              <w:rPr>
                <w:rFonts w:hint="eastAsia" w:hAnsi="宋体"/>
                <w:color w:val="auto"/>
                <w:sz w:val="21"/>
                <w:szCs w:val="21"/>
              </w:rPr>
              <w:t>（50 ～ 400）μg/g</w:t>
            </w:r>
          </w:p>
        </w:tc>
        <w:tc>
          <w:tcPr>
            <w:tcW w:w="2378" w:type="dxa"/>
          </w:tcPr>
          <w:p>
            <w:pPr>
              <w:pStyle w:val="52"/>
              <w:jc w:val="center"/>
              <w:rPr>
                <w:rFonts w:hAnsi="宋体"/>
                <w:color w:val="auto"/>
                <w:sz w:val="21"/>
                <w:szCs w:val="21"/>
              </w:rPr>
            </w:pPr>
            <w:r>
              <w:rPr>
                <w:rFonts w:hint="eastAsia" w:hAnsi="宋体"/>
                <w:color w:val="auto"/>
                <w:sz w:val="21"/>
                <w:szCs w:val="21"/>
              </w:rPr>
              <w:t>±2</w:t>
            </w:r>
            <w:r>
              <w:rPr>
                <w:rFonts w:hint="eastAsia" w:hAnsi="宋体"/>
                <w:color w:val="auto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hAnsi="宋体"/>
                <w:color w:val="auto"/>
                <w:sz w:val="21"/>
                <w:szCs w:val="21"/>
              </w:rPr>
              <w:t>μg/g</w:t>
            </w:r>
          </w:p>
        </w:tc>
        <w:tc>
          <w:tcPr>
            <w:tcW w:w="1747" w:type="dxa"/>
          </w:tcPr>
          <w:p>
            <w:pPr>
              <w:pStyle w:val="52"/>
              <w:jc w:val="center"/>
              <w:rPr>
                <w:rFonts w:hAnsi="宋体"/>
                <w:color w:val="auto"/>
                <w:sz w:val="21"/>
                <w:szCs w:val="21"/>
              </w:rPr>
            </w:pPr>
            <w:r>
              <w:rPr>
                <w:rFonts w:hint="eastAsia" w:hAnsi="宋体"/>
                <w:color w:val="auto"/>
                <w:sz w:val="21"/>
                <w:szCs w:val="21"/>
              </w:rPr>
              <w:t>1</w:t>
            </w:r>
            <w:r>
              <w:rPr>
                <w:rFonts w:hint="eastAsia" w:hAnsi="宋体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hAnsi="宋体"/>
                <w:color w:val="auto"/>
                <w:sz w:val="21"/>
                <w:szCs w:val="21"/>
              </w:rPr>
              <w:t>μg/g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jc w:val="center"/>
        </w:trPr>
        <w:tc>
          <w:tcPr>
            <w:tcW w:w="869" w:type="dxa"/>
            <w:vMerge w:val="continue"/>
            <w:vAlign w:val="center"/>
          </w:tcPr>
          <w:p>
            <w:pPr>
              <w:pStyle w:val="52"/>
              <w:jc w:val="center"/>
              <w:rPr>
                <w:rFonts w:hAnsi="宋体"/>
                <w:color w:val="auto"/>
                <w:sz w:val="21"/>
                <w:szCs w:val="21"/>
              </w:rPr>
            </w:pPr>
          </w:p>
        </w:tc>
        <w:tc>
          <w:tcPr>
            <w:tcW w:w="2341" w:type="dxa"/>
          </w:tcPr>
          <w:p>
            <w:pPr>
              <w:pStyle w:val="52"/>
              <w:jc w:val="center"/>
              <w:rPr>
                <w:rFonts w:hAnsi="宋体"/>
                <w:color w:val="auto"/>
                <w:sz w:val="21"/>
                <w:szCs w:val="21"/>
              </w:rPr>
            </w:pPr>
            <w:r>
              <w:rPr>
                <w:rFonts w:hint="eastAsia" w:hAnsi="宋体"/>
                <w:color w:val="auto"/>
                <w:sz w:val="21"/>
                <w:szCs w:val="21"/>
              </w:rPr>
              <w:t>（400 ～ 2000）μg/g</w:t>
            </w:r>
          </w:p>
        </w:tc>
        <w:tc>
          <w:tcPr>
            <w:tcW w:w="2378" w:type="dxa"/>
          </w:tcPr>
          <w:p>
            <w:pPr>
              <w:pStyle w:val="52"/>
              <w:jc w:val="center"/>
              <w:rPr>
                <w:rFonts w:hAnsi="宋体"/>
                <w:color w:val="auto"/>
                <w:sz w:val="21"/>
                <w:szCs w:val="21"/>
              </w:rPr>
            </w:pPr>
            <w:r>
              <w:rPr>
                <w:rFonts w:hint="eastAsia" w:hAnsi="宋体"/>
                <w:color w:val="auto"/>
                <w:sz w:val="21"/>
                <w:szCs w:val="21"/>
              </w:rPr>
              <w:t>±</w:t>
            </w:r>
            <w:r>
              <w:rPr>
                <w:rFonts w:hint="eastAsia" w:hAnsi="宋体"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hAnsi="宋体"/>
                <w:color w:val="auto"/>
                <w:sz w:val="21"/>
                <w:szCs w:val="21"/>
              </w:rPr>
              <w:t>%（相对）</w:t>
            </w:r>
          </w:p>
        </w:tc>
        <w:tc>
          <w:tcPr>
            <w:tcW w:w="1747" w:type="dxa"/>
          </w:tcPr>
          <w:p>
            <w:pPr>
              <w:pStyle w:val="52"/>
              <w:jc w:val="center"/>
              <w:rPr>
                <w:rFonts w:hAnsi="宋体"/>
                <w:color w:val="auto"/>
                <w:sz w:val="21"/>
                <w:szCs w:val="21"/>
              </w:rPr>
            </w:pPr>
            <w:r>
              <w:rPr>
                <w:rFonts w:hint="eastAsia" w:hAnsi="宋体"/>
                <w:color w:val="auto"/>
                <w:sz w:val="21"/>
                <w:szCs w:val="21"/>
              </w:rPr>
              <w:t>3%×示值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869" w:type="dxa"/>
            <w:vMerge w:val="restart"/>
            <w:vAlign w:val="center"/>
          </w:tcPr>
          <w:p>
            <w:pPr>
              <w:pStyle w:val="52"/>
              <w:jc w:val="center"/>
              <w:rPr>
                <w:rFonts w:hAnsi="宋体"/>
                <w:color w:val="auto"/>
                <w:sz w:val="21"/>
                <w:szCs w:val="21"/>
              </w:rPr>
            </w:pPr>
            <w:r>
              <w:rPr>
                <w:rFonts w:hint="eastAsia" w:hAnsi="宋体"/>
                <w:color w:val="auto"/>
                <w:sz w:val="21"/>
                <w:szCs w:val="21"/>
              </w:rPr>
              <w:t>氯</w:t>
            </w:r>
          </w:p>
        </w:tc>
        <w:tc>
          <w:tcPr>
            <w:tcW w:w="2341" w:type="dxa"/>
          </w:tcPr>
          <w:p>
            <w:pPr>
              <w:pStyle w:val="52"/>
              <w:jc w:val="both"/>
              <w:rPr>
                <w:rFonts w:hAnsi="宋体"/>
                <w:color w:val="auto"/>
                <w:sz w:val="21"/>
                <w:szCs w:val="21"/>
              </w:rPr>
            </w:pPr>
            <w:r>
              <w:rPr>
                <w:rFonts w:hint="eastAsia" w:hAnsi="宋体"/>
                <w:color w:val="auto"/>
                <w:sz w:val="21"/>
                <w:szCs w:val="21"/>
              </w:rPr>
              <w:t>（0.010～0.050）%</w:t>
            </w:r>
          </w:p>
        </w:tc>
        <w:tc>
          <w:tcPr>
            <w:tcW w:w="2378" w:type="dxa"/>
          </w:tcPr>
          <w:p>
            <w:pPr>
              <w:pStyle w:val="52"/>
              <w:jc w:val="center"/>
              <w:rPr>
                <w:rFonts w:hAnsi="宋体"/>
                <w:color w:val="auto"/>
                <w:sz w:val="21"/>
                <w:szCs w:val="21"/>
              </w:rPr>
            </w:pPr>
            <w:r>
              <w:rPr>
                <w:rFonts w:hint="eastAsia" w:hAnsi="宋体"/>
                <w:color w:val="auto"/>
                <w:sz w:val="21"/>
                <w:szCs w:val="21"/>
              </w:rPr>
              <w:t>±0.00</w:t>
            </w:r>
            <w:r>
              <w:rPr>
                <w:rFonts w:hint="eastAsia" w:hAnsi="宋体"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hAnsi="宋体"/>
                <w:color w:val="auto"/>
                <w:sz w:val="21"/>
                <w:szCs w:val="21"/>
              </w:rPr>
              <w:t>%</w:t>
            </w:r>
          </w:p>
        </w:tc>
        <w:tc>
          <w:tcPr>
            <w:tcW w:w="1747" w:type="dxa"/>
          </w:tcPr>
          <w:p>
            <w:pPr>
              <w:pStyle w:val="52"/>
              <w:jc w:val="center"/>
              <w:rPr>
                <w:rFonts w:hAnsi="宋体"/>
                <w:color w:val="auto"/>
                <w:sz w:val="21"/>
                <w:szCs w:val="21"/>
              </w:rPr>
            </w:pPr>
            <w:r>
              <w:rPr>
                <w:rFonts w:hint="eastAsia" w:hAnsi="宋体"/>
                <w:color w:val="auto"/>
                <w:sz w:val="21"/>
                <w:szCs w:val="21"/>
              </w:rPr>
              <w:t>0.00</w:t>
            </w:r>
            <w:r>
              <w:rPr>
                <w:rFonts w:hint="eastAsia" w:hAnsi="宋体"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hAnsi="宋体"/>
                <w:color w:val="auto"/>
                <w:sz w:val="21"/>
                <w:szCs w:val="21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869" w:type="dxa"/>
            <w:vMerge w:val="continue"/>
          </w:tcPr>
          <w:p>
            <w:pPr>
              <w:pStyle w:val="52"/>
              <w:jc w:val="both"/>
              <w:rPr>
                <w:rFonts w:hAnsi="宋体"/>
                <w:color w:val="auto"/>
                <w:sz w:val="21"/>
                <w:szCs w:val="21"/>
              </w:rPr>
            </w:pPr>
          </w:p>
        </w:tc>
        <w:tc>
          <w:tcPr>
            <w:tcW w:w="2341" w:type="dxa"/>
          </w:tcPr>
          <w:p>
            <w:pPr>
              <w:pStyle w:val="52"/>
              <w:jc w:val="both"/>
              <w:rPr>
                <w:rFonts w:hAnsi="宋体"/>
                <w:color w:val="auto"/>
                <w:sz w:val="21"/>
                <w:szCs w:val="21"/>
              </w:rPr>
            </w:pPr>
            <w:r>
              <w:rPr>
                <w:rFonts w:hint="eastAsia" w:hAnsi="宋体"/>
                <w:color w:val="auto"/>
                <w:sz w:val="21"/>
                <w:szCs w:val="21"/>
              </w:rPr>
              <w:t>（0.050～0.300）%</w:t>
            </w:r>
          </w:p>
        </w:tc>
        <w:tc>
          <w:tcPr>
            <w:tcW w:w="2378" w:type="dxa"/>
          </w:tcPr>
          <w:p>
            <w:pPr>
              <w:pStyle w:val="52"/>
              <w:jc w:val="center"/>
              <w:rPr>
                <w:rFonts w:hAnsi="宋体"/>
                <w:color w:val="auto"/>
                <w:sz w:val="21"/>
                <w:szCs w:val="21"/>
              </w:rPr>
            </w:pPr>
            <w:r>
              <w:rPr>
                <w:rFonts w:hint="eastAsia" w:hAnsi="宋体"/>
                <w:color w:val="auto"/>
                <w:sz w:val="21"/>
                <w:szCs w:val="21"/>
              </w:rPr>
              <w:t>±</w:t>
            </w:r>
            <w:r>
              <w:rPr>
                <w:rFonts w:hint="eastAsia" w:hAnsi="宋体"/>
                <w:color w:val="auto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hAnsi="宋体"/>
                <w:color w:val="auto"/>
                <w:sz w:val="21"/>
                <w:szCs w:val="21"/>
              </w:rPr>
              <w:t>%（相对）</w:t>
            </w:r>
          </w:p>
        </w:tc>
        <w:tc>
          <w:tcPr>
            <w:tcW w:w="1747" w:type="dxa"/>
          </w:tcPr>
          <w:p>
            <w:pPr>
              <w:pStyle w:val="52"/>
              <w:jc w:val="center"/>
              <w:rPr>
                <w:rFonts w:hAnsi="宋体"/>
                <w:color w:val="auto"/>
                <w:sz w:val="21"/>
                <w:szCs w:val="21"/>
              </w:rPr>
            </w:pPr>
            <w:r>
              <w:rPr>
                <w:rFonts w:hint="eastAsia" w:hAnsi="宋体"/>
                <w:color w:val="auto"/>
                <w:sz w:val="21"/>
                <w:szCs w:val="21"/>
              </w:rPr>
              <w:t>0.00</w:t>
            </w:r>
            <w:r>
              <w:rPr>
                <w:rFonts w:hint="eastAsia" w:hAnsi="宋体"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hAnsi="宋体"/>
                <w:color w:val="auto"/>
                <w:sz w:val="21"/>
                <w:szCs w:val="21"/>
              </w:rPr>
              <w:t>%</w:t>
            </w:r>
          </w:p>
        </w:tc>
      </w:tr>
    </w:tbl>
    <w:p>
      <w:pPr>
        <w:rPr>
          <w:rFonts w:hint="eastAsia" w:ascii="宋体" w:hAnsi="宋体" w:eastAsia="宋体" w:cs="宋体"/>
          <w:color w:val="000000"/>
          <w:kern w:val="0"/>
          <w:sz w:val="24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4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color w:val="000000"/>
          <w:kern w:val="0"/>
          <w:sz w:val="21"/>
          <w:szCs w:val="21"/>
          <w:lang w:val="en-US" w:eastAsia="zh-CN"/>
        </w:rPr>
        <w:t>注:该计量特性指标仅作校准参考</w:t>
      </w:r>
      <w:r>
        <w:rPr>
          <w:rFonts w:hint="eastAsia" w:ascii="华文仿宋" w:hAnsi="华文仿宋" w:eastAsia="华文仿宋" w:cs="华文仿宋"/>
          <w:color w:val="000000"/>
          <w:kern w:val="0"/>
          <w:sz w:val="24"/>
          <w:lang w:val="en-US" w:eastAsia="zh-CN"/>
        </w:rPr>
        <w:t>。</w:t>
      </w:r>
    </w:p>
    <w:p>
      <w:pPr>
        <w:spacing w:line="360" w:lineRule="auto"/>
        <w:rPr>
          <w:rFonts w:hint="eastAsia" w:ascii="黑体" w:hAnsi="黑体" w:eastAsia="黑体" w:cs="黑体"/>
          <w:kern w:val="0"/>
          <w:sz w:val="24"/>
          <w:szCs w:val="24"/>
        </w:rPr>
      </w:pPr>
      <w:bookmarkStart w:id="28" w:name="_Toc2145_WPSOffice_Level1"/>
      <w:r>
        <w:rPr>
          <w:rFonts w:hint="eastAsia" w:ascii="黑体" w:hAnsi="黑体" w:eastAsia="黑体" w:cs="黑体"/>
          <w:kern w:val="0"/>
          <w:sz w:val="24"/>
          <w:szCs w:val="24"/>
        </w:rPr>
        <w:t>5 校准条件</w:t>
      </w:r>
      <w:bookmarkEnd w:id="28"/>
    </w:p>
    <w:p>
      <w:pPr>
        <w:spacing w:line="360" w:lineRule="auto"/>
        <w:rPr>
          <w:rFonts w:asciiTheme="majorEastAsia" w:hAnsiTheme="majorEastAsia" w:eastAsiaTheme="majorEastAsia" w:cstheme="majorEastAsia"/>
          <w:sz w:val="24"/>
          <w:szCs w:val="24"/>
        </w:rPr>
      </w:pPr>
      <w:bookmarkStart w:id="29" w:name="_Toc14691_WPSOffice_Level1"/>
      <w:bookmarkStart w:id="30" w:name="_Toc8172_WPSOffice_Level2"/>
      <w:r>
        <w:rPr>
          <w:rFonts w:hint="eastAsia" w:asciiTheme="majorEastAsia" w:hAnsiTheme="majorEastAsia" w:eastAsiaTheme="majorEastAsia" w:cstheme="majorEastAsia"/>
          <w:sz w:val="24"/>
          <w:szCs w:val="24"/>
        </w:rPr>
        <w:t>5.1环境条件</w:t>
      </w:r>
      <w:bookmarkEnd w:id="29"/>
      <w:bookmarkEnd w:id="30"/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5.1.1环境温度：（5</w:t>
      </w:r>
      <w:r>
        <w:rPr>
          <w:rFonts w:hint="eastAsia" w:ascii="宋体" w:hAnsi="宋体" w:eastAsia="宋体" w:cs="宋体"/>
          <w:sz w:val="24"/>
          <w:szCs w:val="22"/>
          <w:lang w:val="zh-CN"/>
        </w:rPr>
        <w:t>～</w:t>
      </w:r>
      <w:r>
        <w:rPr>
          <w:rFonts w:hint="eastAsia" w:ascii="宋体" w:hAnsi="宋体" w:eastAsia="宋体" w:cs="宋体"/>
          <w:sz w:val="24"/>
          <w:szCs w:val="24"/>
        </w:rPr>
        <w:t>40）℃。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5.1.2相对湿度：≤85%。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5.1.3电源：电压AC（220±22）V，频率（50±1）Hz。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5.1.4仪器周围应无强烈振动，无强交流电、磁场干扰，无腐蚀性气体存在。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bookmarkStart w:id="31" w:name="_Toc29999_WPSOffice_Level2"/>
      <w:bookmarkStart w:id="32" w:name="_Toc14845_WPSOffice_Level1"/>
      <w:r>
        <w:rPr>
          <w:rFonts w:hint="eastAsia" w:ascii="宋体" w:hAnsi="宋体" w:eastAsia="宋体" w:cs="宋体"/>
          <w:sz w:val="24"/>
          <w:szCs w:val="24"/>
        </w:rPr>
        <w:t>5.2测量标准及其他设备</w:t>
      </w:r>
      <w:bookmarkEnd w:id="31"/>
      <w:bookmarkEnd w:id="32"/>
    </w:p>
    <w:p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szCs w:val="24"/>
        </w:rPr>
        <w:t>5.2.1有</w:t>
      </w:r>
      <w:r>
        <w:rPr>
          <w:rFonts w:hint="eastAsia" w:ascii="宋体" w:hAnsi="宋体" w:eastAsia="宋体" w:cs="宋体"/>
          <w:sz w:val="24"/>
        </w:rPr>
        <w:t>证标准物质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zh-CN" w:eastAsia="zh-CN"/>
        </w:rPr>
        <w:t>采用国家计量行政部门批准的煤炭氟</w:t>
      </w:r>
      <w:r>
        <w:rPr>
          <w:rFonts w:hint="eastAsia" w:ascii="宋体" w:hAnsi="宋体" w:eastAsia="宋体" w:cs="宋体"/>
          <w:sz w:val="24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lang w:val="zh-CN" w:eastAsia="zh-CN"/>
        </w:rPr>
        <w:t>氯成分分析有证标准物质</w:t>
      </w:r>
      <w:r>
        <w:rPr>
          <w:rFonts w:hint="eastAsia" w:ascii="宋体" w:hAnsi="宋体" w:eastAsia="宋体" w:cs="宋体"/>
          <w:sz w:val="24"/>
          <w:lang w:val="zh-CN"/>
        </w:rPr>
        <w:t>。氟</w:t>
      </w:r>
      <w:r>
        <w:rPr>
          <w:rFonts w:hint="eastAsia" w:ascii="宋体" w:hAnsi="宋体" w:eastAsia="宋体" w:cs="宋体"/>
          <w:sz w:val="24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lang w:val="zh-CN"/>
        </w:rPr>
        <w:t>氯成分标准物质应符合表</w:t>
      </w:r>
      <w:r>
        <w:rPr>
          <w:rFonts w:hint="eastAsia" w:ascii="宋体" w:hAnsi="宋体" w:eastAsia="宋体" w:cs="宋体"/>
          <w:sz w:val="24"/>
          <w:lang w:val="en-US" w:eastAsia="zh-CN"/>
        </w:rPr>
        <w:t>2的要求。</w:t>
      </w:r>
    </w:p>
    <w:p>
      <w:pPr>
        <w:jc w:val="center"/>
        <w:rPr>
          <w:rFonts w:hint="eastAsia" w:ascii="黑体" w:hAnsi="黑体" w:eastAsia="黑体"/>
          <w:lang w:eastAsia="zh-CN"/>
        </w:rPr>
      </w:pPr>
      <w:r>
        <w:rPr>
          <w:rFonts w:hint="eastAsia" w:ascii="黑体" w:hAnsi="黑体" w:eastAsia="黑体"/>
        </w:rPr>
        <w:t>表</w:t>
      </w:r>
      <w:r>
        <w:rPr>
          <w:rFonts w:hint="eastAsia" w:ascii="黑体" w:hAnsi="黑体" w:eastAsia="黑体"/>
          <w:lang w:val="en-US" w:eastAsia="zh-CN"/>
        </w:rPr>
        <w:t>2</w:t>
      </w:r>
      <w:r>
        <w:rPr>
          <w:rFonts w:hint="eastAsia" w:ascii="黑体" w:hAnsi="黑体" w:eastAsia="黑体"/>
        </w:rPr>
        <w:t xml:space="preserve"> </w:t>
      </w:r>
      <w:r>
        <w:rPr>
          <w:rFonts w:hint="eastAsia" w:ascii="黑体" w:hAnsi="黑体" w:eastAsia="黑体"/>
          <w:lang w:eastAsia="zh-CN"/>
        </w:rPr>
        <w:t>煤炭氟</w:t>
      </w:r>
      <w:r>
        <w:rPr>
          <w:rFonts w:hint="eastAsia" w:ascii="黑体" w:hAnsi="黑体" w:eastAsia="黑体"/>
          <w:lang w:val="en-US" w:eastAsia="zh-CN"/>
        </w:rPr>
        <w:t>/</w:t>
      </w:r>
      <w:r>
        <w:rPr>
          <w:rFonts w:hint="eastAsia" w:ascii="黑体" w:hAnsi="黑体" w:eastAsia="黑体"/>
          <w:lang w:eastAsia="zh-CN"/>
        </w:rPr>
        <w:t>氯成分标准物质的要求</w:t>
      </w:r>
    </w:p>
    <w:tbl>
      <w:tblPr>
        <w:tblStyle w:val="28"/>
        <w:tblW w:w="558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9"/>
        <w:gridCol w:w="2341"/>
        <w:gridCol w:w="23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69" w:type="dxa"/>
          </w:tcPr>
          <w:p>
            <w:pPr>
              <w:pStyle w:val="52"/>
              <w:jc w:val="center"/>
              <w:rPr>
                <w:rFonts w:hAnsi="宋体"/>
                <w:color w:val="auto"/>
                <w:sz w:val="21"/>
                <w:szCs w:val="21"/>
              </w:rPr>
            </w:pPr>
            <w:r>
              <w:rPr>
                <w:rFonts w:hint="eastAsia" w:hAnsi="宋体"/>
                <w:color w:val="auto"/>
                <w:sz w:val="21"/>
                <w:szCs w:val="21"/>
              </w:rPr>
              <w:t>项目</w:t>
            </w:r>
          </w:p>
        </w:tc>
        <w:tc>
          <w:tcPr>
            <w:tcW w:w="2341" w:type="dxa"/>
          </w:tcPr>
          <w:p>
            <w:pPr>
              <w:pStyle w:val="52"/>
              <w:jc w:val="center"/>
              <w:rPr>
                <w:rFonts w:hAnsi="宋体"/>
                <w:color w:val="auto"/>
                <w:sz w:val="21"/>
                <w:szCs w:val="21"/>
              </w:rPr>
            </w:pPr>
            <w:r>
              <w:rPr>
                <w:rFonts w:hint="eastAsia" w:hAnsi="宋体"/>
                <w:color w:val="auto"/>
                <w:sz w:val="21"/>
                <w:szCs w:val="21"/>
              </w:rPr>
              <w:t>范围</w:t>
            </w:r>
          </w:p>
        </w:tc>
        <w:tc>
          <w:tcPr>
            <w:tcW w:w="2378" w:type="dxa"/>
          </w:tcPr>
          <w:p>
            <w:pPr>
              <w:pStyle w:val="52"/>
              <w:jc w:val="center"/>
              <w:rPr>
                <w:rFonts w:hint="eastAsia" w:hAnsi="宋体" w:eastAsia="宋体"/>
                <w:color w:val="auto"/>
                <w:sz w:val="21"/>
                <w:szCs w:val="21"/>
                <w:vertAlign w:val="subscript"/>
                <w:lang w:val="en-US" w:eastAsia="zh-CN"/>
              </w:rPr>
            </w:pPr>
            <w:r>
              <w:rPr>
                <w:rFonts w:hint="eastAsia" w:hAnsi="宋体"/>
                <w:i/>
                <w:iCs/>
                <w:color w:val="auto"/>
                <w:sz w:val="21"/>
                <w:szCs w:val="21"/>
                <w:lang w:val="en-US" w:eastAsia="zh-CN"/>
              </w:rPr>
              <w:t>U</w:t>
            </w:r>
            <w:r>
              <w:rPr>
                <w:rFonts w:hint="eastAsia" w:hAnsi="宋体"/>
                <w:color w:val="auto"/>
                <w:sz w:val="21"/>
                <w:szCs w:val="21"/>
                <w:lang w:val="en-US" w:eastAsia="zh-CN"/>
              </w:rPr>
              <w:t>r(</w:t>
            </w:r>
            <w:r>
              <w:rPr>
                <w:rFonts w:hint="eastAsia" w:hAnsi="宋体"/>
                <w:i/>
                <w:iCs/>
                <w:color w:val="auto"/>
                <w:sz w:val="21"/>
                <w:szCs w:val="21"/>
                <w:lang w:val="en-US" w:eastAsia="zh-CN"/>
              </w:rPr>
              <w:t>k</w:t>
            </w:r>
            <w:r>
              <w:rPr>
                <w:rFonts w:hint="eastAsia" w:hAnsi="宋体"/>
                <w:color w:val="auto"/>
                <w:sz w:val="21"/>
                <w:szCs w:val="21"/>
                <w:lang w:val="en-US" w:eastAsia="zh-CN"/>
              </w:rPr>
              <w:t>=2)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9" w:type="dxa"/>
            <w:vMerge w:val="restart"/>
            <w:vAlign w:val="center"/>
          </w:tcPr>
          <w:p>
            <w:pPr>
              <w:pStyle w:val="52"/>
              <w:jc w:val="center"/>
              <w:rPr>
                <w:rFonts w:hAnsi="宋体"/>
                <w:color w:val="auto"/>
                <w:sz w:val="21"/>
                <w:szCs w:val="21"/>
              </w:rPr>
            </w:pPr>
            <w:r>
              <w:rPr>
                <w:rFonts w:hint="eastAsia" w:hAnsi="宋体"/>
                <w:color w:val="auto"/>
                <w:sz w:val="21"/>
                <w:szCs w:val="21"/>
              </w:rPr>
              <w:t>氟</w:t>
            </w:r>
          </w:p>
        </w:tc>
        <w:tc>
          <w:tcPr>
            <w:tcW w:w="2341" w:type="dxa"/>
          </w:tcPr>
          <w:p>
            <w:pPr>
              <w:pStyle w:val="52"/>
              <w:jc w:val="center"/>
              <w:rPr>
                <w:rFonts w:hAnsi="宋体"/>
                <w:color w:val="auto"/>
                <w:sz w:val="21"/>
                <w:szCs w:val="21"/>
              </w:rPr>
            </w:pPr>
            <w:r>
              <w:rPr>
                <w:rFonts w:hint="eastAsia" w:hAnsi="宋体"/>
                <w:color w:val="auto"/>
                <w:sz w:val="21"/>
                <w:szCs w:val="21"/>
              </w:rPr>
              <w:t>（50 ～ 400）μg/g</w:t>
            </w:r>
          </w:p>
        </w:tc>
        <w:tc>
          <w:tcPr>
            <w:tcW w:w="2378" w:type="dxa"/>
          </w:tcPr>
          <w:p>
            <w:pPr>
              <w:pStyle w:val="52"/>
              <w:jc w:val="center"/>
              <w:rPr>
                <w:rFonts w:hint="eastAsia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hAnsi="宋体"/>
                <w:color w:val="auto"/>
                <w:sz w:val="21"/>
                <w:szCs w:val="21"/>
                <w:lang w:val="en-US" w:eastAsia="zh-CN"/>
              </w:rPr>
              <w:t>≤6.5%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" w:hRule="atLeast"/>
          <w:jc w:val="center"/>
        </w:trPr>
        <w:tc>
          <w:tcPr>
            <w:tcW w:w="869" w:type="dxa"/>
            <w:vMerge w:val="continue"/>
            <w:vAlign w:val="center"/>
          </w:tcPr>
          <w:p>
            <w:pPr>
              <w:pStyle w:val="52"/>
              <w:jc w:val="center"/>
              <w:rPr>
                <w:rFonts w:hAnsi="宋体"/>
                <w:color w:val="auto"/>
                <w:sz w:val="21"/>
                <w:szCs w:val="21"/>
              </w:rPr>
            </w:pPr>
          </w:p>
        </w:tc>
        <w:tc>
          <w:tcPr>
            <w:tcW w:w="2341" w:type="dxa"/>
          </w:tcPr>
          <w:p>
            <w:pPr>
              <w:pStyle w:val="52"/>
              <w:jc w:val="center"/>
              <w:rPr>
                <w:rFonts w:hAnsi="宋体"/>
                <w:color w:val="auto"/>
                <w:sz w:val="21"/>
                <w:szCs w:val="21"/>
              </w:rPr>
            </w:pPr>
            <w:r>
              <w:rPr>
                <w:rFonts w:hint="eastAsia" w:hAnsi="宋体"/>
                <w:color w:val="auto"/>
                <w:sz w:val="21"/>
                <w:szCs w:val="21"/>
              </w:rPr>
              <w:t>（400 ～ 2000）μg/g</w:t>
            </w:r>
          </w:p>
        </w:tc>
        <w:tc>
          <w:tcPr>
            <w:tcW w:w="2378" w:type="dxa"/>
          </w:tcPr>
          <w:p>
            <w:pPr>
              <w:pStyle w:val="52"/>
              <w:jc w:val="center"/>
              <w:rPr>
                <w:rFonts w:hint="eastAsia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hAnsi="宋体"/>
                <w:color w:val="auto"/>
                <w:sz w:val="21"/>
                <w:szCs w:val="21"/>
                <w:lang w:val="en-US" w:eastAsia="zh-CN"/>
              </w:rPr>
              <w:t>≤2%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869" w:type="dxa"/>
            <w:vMerge w:val="restart"/>
            <w:vAlign w:val="center"/>
          </w:tcPr>
          <w:p>
            <w:pPr>
              <w:pStyle w:val="52"/>
              <w:jc w:val="center"/>
              <w:rPr>
                <w:rFonts w:hAnsi="宋体"/>
                <w:color w:val="auto"/>
                <w:sz w:val="21"/>
                <w:szCs w:val="21"/>
              </w:rPr>
            </w:pPr>
            <w:r>
              <w:rPr>
                <w:rFonts w:hint="eastAsia" w:hAnsi="宋体"/>
                <w:color w:val="auto"/>
                <w:sz w:val="21"/>
                <w:szCs w:val="21"/>
              </w:rPr>
              <w:t>氯</w:t>
            </w:r>
          </w:p>
        </w:tc>
        <w:tc>
          <w:tcPr>
            <w:tcW w:w="2341" w:type="dxa"/>
          </w:tcPr>
          <w:p>
            <w:pPr>
              <w:pStyle w:val="52"/>
              <w:jc w:val="both"/>
              <w:rPr>
                <w:rFonts w:hAnsi="宋体"/>
                <w:color w:val="auto"/>
                <w:sz w:val="21"/>
                <w:szCs w:val="21"/>
              </w:rPr>
            </w:pPr>
            <w:r>
              <w:rPr>
                <w:rFonts w:hint="eastAsia" w:hAnsi="宋体"/>
                <w:color w:val="auto"/>
                <w:sz w:val="21"/>
                <w:szCs w:val="21"/>
              </w:rPr>
              <w:t>（0.010～0.050）%</w:t>
            </w:r>
          </w:p>
        </w:tc>
        <w:tc>
          <w:tcPr>
            <w:tcW w:w="2378" w:type="dxa"/>
          </w:tcPr>
          <w:p>
            <w:pPr>
              <w:pStyle w:val="52"/>
              <w:jc w:val="center"/>
              <w:rPr>
                <w:rFonts w:hint="eastAsia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hAnsi="宋体"/>
                <w:color w:val="auto"/>
                <w:sz w:val="21"/>
                <w:szCs w:val="21"/>
                <w:lang w:val="en-US" w:eastAsia="zh-CN"/>
              </w:rPr>
              <w:t>≤20%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869" w:type="dxa"/>
            <w:vMerge w:val="continue"/>
          </w:tcPr>
          <w:p>
            <w:pPr>
              <w:pStyle w:val="52"/>
              <w:jc w:val="both"/>
              <w:rPr>
                <w:rFonts w:hAnsi="宋体"/>
                <w:color w:val="auto"/>
                <w:sz w:val="21"/>
                <w:szCs w:val="21"/>
              </w:rPr>
            </w:pPr>
          </w:p>
        </w:tc>
        <w:tc>
          <w:tcPr>
            <w:tcW w:w="2341" w:type="dxa"/>
          </w:tcPr>
          <w:p>
            <w:pPr>
              <w:pStyle w:val="52"/>
              <w:jc w:val="both"/>
              <w:rPr>
                <w:rFonts w:hAnsi="宋体"/>
                <w:color w:val="auto"/>
                <w:sz w:val="21"/>
                <w:szCs w:val="21"/>
              </w:rPr>
            </w:pPr>
            <w:r>
              <w:rPr>
                <w:rFonts w:hint="eastAsia" w:hAnsi="宋体"/>
                <w:color w:val="auto"/>
                <w:sz w:val="21"/>
                <w:szCs w:val="21"/>
              </w:rPr>
              <w:t>（0.050～0.300）%</w:t>
            </w:r>
          </w:p>
        </w:tc>
        <w:tc>
          <w:tcPr>
            <w:tcW w:w="2378" w:type="dxa"/>
          </w:tcPr>
          <w:p>
            <w:pPr>
              <w:pStyle w:val="52"/>
              <w:jc w:val="center"/>
              <w:rPr>
                <w:rFonts w:hint="eastAsia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hAnsi="宋体"/>
                <w:color w:val="auto"/>
                <w:sz w:val="21"/>
                <w:szCs w:val="21"/>
                <w:lang w:val="en-US" w:eastAsia="zh-CN"/>
              </w:rPr>
              <w:t>≤5%</w:t>
            </w:r>
          </w:p>
        </w:tc>
      </w:tr>
    </w:tbl>
    <w:p>
      <w:pPr>
        <w:spacing w:line="360" w:lineRule="auto"/>
        <w:rPr>
          <w:rFonts w:hint="eastAsia" w:ascii="宋体" w:hAnsi="宋体"/>
          <w:sz w:val="24"/>
          <w:lang w:val="en-US" w:eastAsia="zh-CN"/>
        </w:rPr>
      </w:pPr>
    </w:p>
    <w:p>
      <w:pPr>
        <w:tabs>
          <w:tab w:val="left" w:pos="540"/>
        </w:tabs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5.2.2测量标准器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z w:val="24"/>
          <w:szCs w:val="24"/>
        </w:rPr>
        <w:t>5.2.2.1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天平：（0～200）g，分度值0.1mg，</w:t>
      </w:r>
      <w:r>
        <w:rPr>
          <w:rFonts w:hint="eastAsia" w:ascii="宋体" w:hAnsi="宋体" w:eastAsia="宋体" w:cs="宋体"/>
          <w:sz w:val="24"/>
          <w:szCs w:val="24"/>
          <w:lang w:val="zh-CN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  <w:lang w:val="zh-CN"/>
        </w:rPr>
        <w:instrText xml:space="preserve"> eq \o\ac(</w:instrText>
      </w:r>
      <w:r>
        <w:rPr>
          <w:rFonts w:hint="eastAsia" w:ascii="宋体" w:hAnsi="宋体" w:eastAsia="宋体" w:cs="宋体"/>
          <w:position w:val="-4"/>
          <w:sz w:val="36"/>
          <w:szCs w:val="24"/>
          <w:lang w:val="zh-CN"/>
        </w:rPr>
        <w:instrText xml:space="preserve">○</w:instrText>
      </w:r>
      <w:r>
        <w:rPr>
          <w:rFonts w:hint="eastAsia" w:ascii="宋体" w:hAnsi="宋体" w:eastAsia="宋体" w:cs="宋体"/>
          <w:position w:val="0"/>
          <w:sz w:val="24"/>
          <w:szCs w:val="24"/>
          <w:lang w:val="zh-CN"/>
        </w:rPr>
        <w:instrText xml:space="preserve">,I)</w:instrText>
      </w:r>
      <w:r>
        <w:rPr>
          <w:rFonts w:hint="eastAsia" w:ascii="宋体" w:hAnsi="宋体" w:eastAsia="宋体" w:cs="宋体"/>
          <w:sz w:val="24"/>
          <w:szCs w:val="24"/>
          <w:lang w:val="zh-CN"/>
        </w:rPr>
        <w:fldChar w:fldCharType="end"/>
      </w:r>
      <w:r>
        <w:rPr>
          <w:rFonts w:hint="eastAsia" w:ascii="宋体" w:hAnsi="宋体" w:eastAsia="宋体" w:cs="宋体"/>
          <w:sz w:val="24"/>
          <w:szCs w:val="24"/>
          <w:lang w:val="zh-CN"/>
        </w:rPr>
        <w:t>级。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2"/>
          <w:lang w:val="zh-CN"/>
        </w:rPr>
      </w:pPr>
      <w:r>
        <w:rPr>
          <w:rFonts w:hint="eastAsia" w:ascii="宋体" w:hAnsi="宋体" w:eastAsia="宋体" w:cs="宋体"/>
          <w:sz w:val="24"/>
          <w:szCs w:val="24"/>
        </w:rPr>
        <w:t>5.2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2.2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符合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GB/T 212中方法B技术要求的干燥箱</w:t>
      </w:r>
      <w:r>
        <w:rPr>
          <w:rFonts w:hint="eastAsia" w:ascii="宋体" w:hAnsi="宋体" w:eastAsia="宋体" w:cs="宋体"/>
          <w:sz w:val="24"/>
          <w:szCs w:val="24"/>
          <w:lang w:val="zh-CN"/>
        </w:rPr>
        <w:t>。</w:t>
      </w:r>
    </w:p>
    <w:p>
      <w:pPr>
        <w:spacing w:line="360" w:lineRule="auto"/>
        <w:rPr>
          <w:rFonts w:hint="eastAsia" w:ascii="黑体" w:hAnsi="黑体" w:eastAsia="黑体" w:cs="黑体"/>
          <w:kern w:val="0"/>
          <w:sz w:val="24"/>
          <w:szCs w:val="24"/>
        </w:rPr>
      </w:pPr>
      <w:bookmarkStart w:id="33" w:name="_Toc28835_WPSOffice_Level1"/>
      <w:r>
        <w:rPr>
          <w:rFonts w:hint="eastAsia" w:ascii="黑体" w:hAnsi="黑体" w:eastAsia="黑体" w:cs="黑体"/>
          <w:kern w:val="0"/>
          <w:sz w:val="24"/>
          <w:szCs w:val="24"/>
        </w:rPr>
        <w:t>6  校准项目和校准方法</w:t>
      </w:r>
      <w:bookmarkEnd w:id="33"/>
      <w:r>
        <w:rPr>
          <w:rFonts w:hint="eastAsia" w:ascii="黑体" w:hAnsi="黑体" w:eastAsia="黑体" w:cs="黑体"/>
          <w:kern w:val="0"/>
          <w:sz w:val="24"/>
          <w:szCs w:val="24"/>
        </w:rPr>
        <w:t xml:space="preserve"> </w:t>
      </w:r>
    </w:p>
    <w:p>
      <w:pPr>
        <w:spacing w:line="360" w:lineRule="auto"/>
        <w:rPr>
          <w:rFonts w:asciiTheme="majorEastAsia" w:hAnsiTheme="majorEastAsia" w:eastAsiaTheme="majorEastAsia" w:cstheme="majorEastAsia"/>
          <w:sz w:val="24"/>
          <w:szCs w:val="24"/>
          <w:lang w:val="zh-CN"/>
        </w:rPr>
      </w:pPr>
      <w:bookmarkStart w:id="34" w:name="_Toc1486_WPSOffice_Level2"/>
      <w:r>
        <w:rPr>
          <w:rFonts w:hint="eastAsia" w:asciiTheme="majorEastAsia" w:hAnsiTheme="majorEastAsia" w:eastAsiaTheme="majorEastAsia" w:cstheme="majorEastAsia"/>
          <w:sz w:val="24"/>
          <w:szCs w:val="24"/>
          <w:lang w:val="zh-CN"/>
        </w:rPr>
        <w:t>6.1校准前检查</w:t>
      </w:r>
      <w:bookmarkEnd w:id="34"/>
    </w:p>
    <w:p>
      <w:pPr>
        <w:spacing w:line="360" w:lineRule="auto"/>
        <w:ind w:firstLine="480" w:firstLineChars="200"/>
        <w:rPr>
          <w:rFonts w:hint="eastAsia" w:ascii="宋体" w:hAnsi="宋体"/>
          <w:sz w:val="24"/>
          <w:szCs w:val="22"/>
          <w:lang w:val="zh-CN"/>
        </w:rPr>
      </w:pPr>
      <w:r>
        <w:rPr>
          <w:rFonts w:hint="eastAsia" w:ascii="宋体" w:hAnsi="宋体"/>
          <w:sz w:val="24"/>
          <w:szCs w:val="22"/>
          <w:lang w:val="zh-CN"/>
        </w:rPr>
        <w:t>6.1.1</w:t>
      </w:r>
      <w:r>
        <w:rPr>
          <w:rFonts w:hint="eastAsia" w:ascii="宋体" w:hAnsi="宋体"/>
          <w:sz w:val="24"/>
          <w:lang w:val="zh-CN"/>
        </w:rPr>
        <w:t>仪器应具有名称、型号、制造厂、出厂编号等标识。仪器各部件齐全且连接良好，各旋钮及按键应能正常工作，无影响使用性能的缺陷。所使用的玻璃仪器和其它用品应清洁</w:t>
      </w:r>
      <w:r>
        <w:rPr>
          <w:rFonts w:hint="eastAsia" w:ascii="宋体" w:hAnsi="宋体"/>
          <w:sz w:val="24"/>
          <w:szCs w:val="22"/>
          <w:lang w:val="zh-CN"/>
        </w:rPr>
        <w:t>。</w:t>
      </w:r>
    </w:p>
    <w:p>
      <w:pPr>
        <w:spacing w:line="360" w:lineRule="auto"/>
        <w:rPr>
          <w:rFonts w:asciiTheme="majorEastAsia" w:hAnsiTheme="majorEastAsia" w:eastAsiaTheme="majorEastAsia" w:cstheme="majorEastAsia"/>
          <w:sz w:val="24"/>
          <w:szCs w:val="24"/>
          <w:lang w:val="zh-CN"/>
        </w:rPr>
      </w:pPr>
      <w:bookmarkStart w:id="35" w:name="_Toc2145_WPSOffice_Level2"/>
      <w:r>
        <w:rPr>
          <w:rFonts w:hint="eastAsia" w:asciiTheme="majorEastAsia" w:hAnsiTheme="majorEastAsia" w:eastAsiaTheme="majorEastAsia" w:cstheme="majorEastAsia"/>
          <w:sz w:val="24"/>
          <w:szCs w:val="24"/>
        </w:rPr>
        <w:t>6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zh-CN"/>
        </w:rPr>
        <w:t>.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2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zh-CN"/>
        </w:rPr>
        <w:t>示值重复性</w:t>
      </w:r>
      <w:bookmarkEnd w:id="35"/>
    </w:p>
    <w:p>
      <w:pPr>
        <w:pStyle w:val="40"/>
        <w:snapToGrid/>
        <w:spacing w:line="360" w:lineRule="auto"/>
        <w:ind w:firstLine="480"/>
        <w:rPr>
          <w:rFonts w:ascii="Times New Roman" w:hAnsi="Times New Roman" w:cs="Times New Roman"/>
          <w:color w:val="auto"/>
          <w:spacing w:val="0"/>
          <w:kern w:val="2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2"/>
          <w:szCs w:val="24"/>
        </w:rPr>
        <w:t>选取符合5.2.1中要求的标准物质，并尽量选择氟/氯含量</w: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  <w:lang w:eastAsia="zh-CN"/>
        </w:rPr>
        <w:t>适中</w: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</w:rPr>
        <w:t>的标准物质，按照仪器说明书给出的方法</w: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  <w:lang w:eastAsia="zh-CN"/>
        </w:rPr>
        <w:t>连续进行</w: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</w:rPr>
        <w:t>6次重复性实验，按照公式(1)计算氟/氯</w: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  <w:lang w:eastAsia="zh-CN"/>
        </w:rPr>
        <w:t>含量</w: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</w:rPr>
        <w:t>重复性，计算如下：</w:t>
      </w:r>
    </w:p>
    <w:p>
      <w:pPr>
        <w:pStyle w:val="40"/>
        <w:snapToGrid/>
        <w:spacing w:line="360" w:lineRule="auto"/>
        <w:ind w:firstLine="480"/>
        <w:jc w:val="center"/>
        <w:rPr>
          <w:rFonts w:ascii="Times New Roman" w:hAnsi="Times New Roman" w:cs="Times New Roman"/>
          <w:color w:val="auto"/>
          <w:spacing w:val="0"/>
          <w:kern w:val="2"/>
          <w:szCs w:val="24"/>
        </w:rPr>
      </w:pPr>
      <w:r>
        <w:rPr>
          <w:rFonts w:hint="eastAsia" w:ascii="Times New Roman" w:hAnsi="Times New Roman" w:cs="Times New Roman"/>
          <w:color w:val="auto"/>
          <w:spacing w:val="0"/>
          <w:kern w:val="2"/>
          <w:position w:val="-26"/>
          <w:szCs w:val="24"/>
          <w:lang w:val="en-US" w:eastAsia="zh-CN"/>
        </w:rPr>
        <w:t xml:space="preserve">                            </w:t>
      </w:r>
      <w:r>
        <w:rPr>
          <w:rFonts w:hint="eastAsia" w:ascii="Times New Roman" w:hAnsi="Times New Roman" w:cs="Times New Roman"/>
          <w:color w:val="auto"/>
          <w:spacing w:val="0"/>
          <w:kern w:val="2"/>
          <w:position w:val="-26"/>
          <w:szCs w:val="24"/>
        </w:rPr>
        <w:object>
          <v:shape id="_x0000_i1025" o:spt="75" type="#_x0000_t75" style="height:47.25pt;width:93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26">
            <o:LockedField>false</o:LockedField>
          </o:OLEObject>
        </w:object>
      </w:r>
      <w:r>
        <w:rPr>
          <w:rFonts w:hint="eastAsia" w:ascii="Times New Roman" w:hAnsi="Times New Roman" w:cs="Times New Roman"/>
          <w:color w:val="auto"/>
          <w:spacing w:val="0"/>
          <w:kern w:val="2"/>
          <w:szCs w:val="24"/>
        </w:rPr>
        <w:t xml:space="preserve">           </w:t>
      </w:r>
      <w:r>
        <w:rPr>
          <w:rFonts w:hint="eastAsia" w:ascii="Times New Roman" w:hAnsi="Times New Roman" w:cs="Times New Roman"/>
          <w:color w:val="auto"/>
          <w:spacing w:val="0"/>
          <w:kern w:val="2"/>
          <w:szCs w:val="24"/>
          <w:lang w:val="en-US" w:eastAsia="zh-CN"/>
        </w:rPr>
        <w:t xml:space="preserve">           </w:t>
      </w:r>
      <w:r>
        <w:rPr>
          <w:rFonts w:hint="eastAsia" w:ascii="Times New Roman" w:hAnsi="Times New Roman" w:cs="Times New Roman"/>
          <w:color w:val="auto"/>
          <w:spacing w:val="0"/>
          <w:kern w:val="2"/>
          <w:szCs w:val="24"/>
        </w:rPr>
        <w:t>（1）</w:t>
      </w:r>
    </w:p>
    <w:p>
      <w:pPr>
        <w:pStyle w:val="40"/>
        <w:snapToGrid/>
        <w:spacing w:line="360" w:lineRule="auto"/>
        <w:ind w:firstLine="480"/>
        <w:rPr>
          <w:rFonts w:hint="eastAsia" w:ascii="宋体" w:hAnsi="宋体" w:eastAsia="宋体" w:cs="宋体"/>
          <w:color w:val="auto"/>
          <w:spacing w:val="0"/>
          <w:kern w:val="2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2"/>
          <w:szCs w:val="24"/>
        </w:rPr>
        <w:t>式中：</w:t>
      </w:r>
    </w:p>
    <w:p>
      <w:pPr>
        <w:pStyle w:val="40"/>
        <w:snapToGrid/>
        <w:spacing w:line="360" w:lineRule="auto"/>
        <w:ind w:firstLine="480"/>
        <w:rPr>
          <w:rFonts w:hint="eastAsia" w:ascii="宋体" w:hAnsi="宋体" w:eastAsia="宋体" w:cs="宋体"/>
          <w:color w:val="auto"/>
          <w:spacing w:val="0"/>
          <w:kern w:val="2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2"/>
          <w:position w:val="-6"/>
          <w:szCs w:val="24"/>
        </w:rPr>
        <w:object>
          <v:shape id="_x0000_i1026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28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</w:rPr>
        <w:t>-----仪器重复性，（测氟</w: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  <w:lang w:eastAsia="zh-CN"/>
        </w:rPr>
        <w:t>含量</w: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</w:rPr>
        <w:t>单位为μg/g，测氯</w: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  <w:lang w:eastAsia="zh-CN"/>
        </w:rPr>
        <w:t>含量</w: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</w:rPr>
        <w:t>单位为%）；</w:t>
      </w:r>
    </w:p>
    <w:p>
      <w:pPr>
        <w:pStyle w:val="40"/>
        <w:snapToGrid/>
        <w:spacing w:line="360" w:lineRule="auto"/>
        <w:ind w:firstLine="480"/>
        <w:rPr>
          <w:rFonts w:hint="eastAsia" w:ascii="宋体" w:hAnsi="宋体" w:eastAsia="宋体" w:cs="宋体"/>
          <w:color w:val="auto"/>
          <w:spacing w:val="0"/>
          <w:kern w:val="2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2"/>
          <w:position w:val="-6"/>
          <w:szCs w:val="24"/>
        </w:rPr>
        <w:object>
          <v:shape id="_x0000_i1027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30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</w:rPr>
        <w:t>-----重复测量次数，（n=6)；</w:t>
      </w:r>
    </w:p>
    <w:p>
      <w:pPr>
        <w:pStyle w:val="40"/>
        <w:snapToGrid/>
        <w:spacing w:line="360" w:lineRule="auto"/>
        <w:ind w:firstLine="480"/>
        <w:rPr>
          <w:rFonts w:hint="eastAsia" w:ascii="宋体" w:hAnsi="宋体" w:eastAsia="宋体" w:cs="宋体"/>
          <w:color w:val="auto"/>
          <w:spacing w:val="0"/>
          <w:kern w:val="2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2"/>
          <w:position w:val="-12"/>
          <w:szCs w:val="24"/>
        </w:rPr>
        <w:object>
          <v:shape id="_x0000_i1028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32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</w:rPr>
        <w:t>-----第i次测试结果，（测氟</w: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  <w:lang w:eastAsia="zh-CN"/>
        </w:rPr>
        <w:t>含量</w: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</w:rPr>
        <w:t>单位为μg/g，测氯</w: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  <w:lang w:eastAsia="zh-CN"/>
        </w:rPr>
        <w:t>含量</w: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</w:rPr>
        <w:t>单位为%）；</w:t>
      </w:r>
    </w:p>
    <w:p>
      <w:pPr>
        <w:pStyle w:val="40"/>
        <w:snapToGrid/>
        <w:spacing w:line="360" w:lineRule="auto"/>
        <w:ind w:firstLine="480"/>
        <w:rPr>
          <w:rFonts w:hint="eastAsia" w:ascii="宋体" w:hAnsi="宋体" w:eastAsia="宋体" w:cs="宋体"/>
          <w:color w:val="auto"/>
          <w:spacing w:val="0"/>
          <w:kern w:val="2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pacing w:val="0"/>
          <w:kern w:val="2"/>
          <w:szCs w:val="24"/>
        </w:rPr>
        <w:object>
          <v:shape id="_x0000_i1029" o:spt="75" type="#_x0000_t75" style="height:15.75pt;width:13.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34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</w:rPr>
        <w:t>-----n次重复测试结果的平均值，（测氟</w: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  <w:lang w:eastAsia="zh-CN"/>
        </w:rPr>
        <w:t>含量</w: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</w:rPr>
        <w:t>单位为μg/g，测氯</w: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  <w:lang w:eastAsia="zh-CN"/>
        </w:rPr>
        <w:t>含量</w: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</w:rPr>
        <w:t>单位为%）</w:t>
      </w:r>
      <w:r>
        <w:rPr>
          <w:rFonts w:hint="eastAsia" w:cs="宋体"/>
          <w:color w:val="auto"/>
          <w:spacing w:val="0"/>
          <w:kern w:val="2"/>
          <w:szCs w:val="24"/>
          <w:lang w:eastAsia="zh-CN"/>
        </w:rPr>
        <w:t>。</w:t>
      </w:r>
    </w:p>
    <w:p>
      <w:pPr>
        <w:spacing w:line="360" w:lineRule="auto"/>
        <w:rPr>
          <w:rFonts w:asciiTheme="majorEastAsia" w:hAnsiTheme="majorEastAsia" w:eastAsiaTheme="majorEastAsia" w:cstheme="majorEastAsia"/>
          <w:sz w:val="24"/>
          <w:szCs w:val="24"/>
        </w:rPr>
      </w:pPr>
      <w:bookmarkStart w:id="36" w:name="_Toc28835_WPSOffice_Level2"/>
      <w:r>
        <w:rPr>
          <w:rFonts w:hint="eastAsia" w:asciiTheme="majorEastAsia" w:hAnsiTheme="majorEastAsia" w:eastAsiaTheme="majorEastAsia" w:cstheme="majorEastAsia"/>
          <w:sz w:val="24"/>
          <w:szCs w:val="24"/>
        </w:rPr>
        <w:t>6.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3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示值误差</w:t>
      </w:r>
      <w:bookmarkEnd w:id="36"/>
    </w:p>
    <w:p>
      <w:pPr>
        <w:pStyle w:val="40"/>
        <w:snapToGrid/>
        <w:spacing w:line="360" w:lineRule="auto"/>
        <w:ind w:firstLine="480"/>
        <w:rPr>
          <w:rFonts w:hint="eastAsia" w:ascii="宋体" w:hAnsi="宋体" w:eastAsia="宋体" w:cs="宋体"/>
          <w:color w:val="auto"/>
          <w:spacing w:val="0"/>
          <w:kern w:val="2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2"/>
          <w:szCs w:val="24"/>
          <w:lang w:eastAsia="zh-CN"/>
        </w:rPr>
        <w:t>依据表</w: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  <w:lang w:val="en-US" w:eastAsia="zh-CN"/>
        </w:rPr>
        <w:t>1给出的氟/氯含量范围，每一范围区段</w: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</w:rPr>
        <w:t>取</w: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/>
        </w:rPr>
        <w:t>～</w: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  <w:lang w:eastAsia="zh-CN"/>
        </w:rPr>
        <w:t>种</w: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</w:rPr>
        <w:t>氟/氯</w: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  <w:lang w:eastAsia="zh-CN"/>
        </w:rPr>
        <w:t>成分</w: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</w:rPr>
        <w:t>标准物质，</w: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  <w:lang w:eastAsia="zh-CN"/>
        </w:rPr>
        <w:t>重复进行</w: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  <w:lang w:val="en-US" w:eastAsia="zh-CN"/>
        </w:rPr>
        <w:t>两次成分测定，同时并</w: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  <w:lang w:eastAsia="zh-CN"/>
        </w:rPr>
        <w:t>按照</w: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</w:rPr>
        <w:t>GB/T</w: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</w:rPr>
        <w:t>21</w: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  <w:lang w:val="en-US" w:eastAsia="zh-CN"/>
        </w:rPr>
        <w:t>2中</w: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  <w:lang w:eastAsia="zh-CN"/>
        </w:rPr>
        <w:t>方法</w: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  <w:lang w:val="en-US" w:eastAsia="zh-CN"/>
        </w:rPr>
        <w:t>B</w: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</w:rPr>
        <w:t>测</w: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  <w:lang w:eastAsia="zh-CN"/>
        </w:rPr>
        <w:t>定标准物质</w: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</w:rPr>
        <w:t>的水分，</w: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  <w:lang w:eastAsia="zh-CN"/>
        </w:rPr>
        <w:t>测算</w: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</w:rPr>
        <w:t>出干基</w: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  <w:lang w:eastAsia="zh-CN"/>
        </w:rPr>
        <w:t>氟</w: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  <w:lang w:eastAsia="zh-CN"/>
        </w:rPr>
        <w:t>氯含量（</w: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  <w:lang w:val="en-US" w:eastAsia="zh-CN"/>
        </w:rPr>
        <w:t>F</w: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  <w:vertAlign w:val="subscript"/>
          <w:lang w:val="en-US" w:eastAsia="zh-CN"/>
        </w:rPr>
        <w:t>d</w: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  <w:vertAlign w:val="baseline"/>
          <w:lang w:val="en-US" w:eastAsia="zh-CN"/>
        </w:rPr>
        <w:t>/</w: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  <w:lang w:val="en-US" w:eastAsia="zh-CN"/>
        </w:rPr>
        <w:t>Cl</w: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  <w:vertAlign w:val="subscript"/>
          <w:lang w:val="en-US" w:eastAsia="zh-CN"/>
        </w:rPr>
        <w:t>d</w: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</w:rPr>
        <w:t>，</w: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  <w:lang w:eastAsia="zh-CN"/>
        </w:rPr>
        <w:t>两次测定</w: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</w:rPr>
        <w:t>干基</w: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  <w:lang w:eastAsia="zh-CN"/>
        </w:rPr>
        <w:t>氟</w: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  <w:lang w:eastAsia="zh-CN"/>
        </w:rPr>
        <w:t>氯含量的</w: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</w:rPr>
        <w:t>平均值与标准值之差为示值误差，计算如下：</w:t>
      </w:r>
    </w:p>
    <w:p>
      <w:pPr>
        <w:pStyle w:val="40"/>
        <w:snapToGrid/>
        <w:spacing w:line="360" w:lineRule="auto"/>
        <w:ind w:firstLine="480"/>
        <w:jc w:val="center"/>
        <w:rPr>
          <w:rFonts w:hint="eastAsia" w:ascii="宋体" w:hAnsi="宋体" w:eastAsia="宋体" w:cs="宋体"/>
          <w:color w:val="auto"/>
          <w:spacing w:val="0"/>
          <w:kern w:val="2"/>
          <w:szCs w:val="24"/>
        </w:rPr>
      </w:pPr>
      <w:r>
        <w:rPr>
          <w:rFonts w:hint="eastAsia" w:cs="宋体"/>
          <w:color w:val="auto"/>
          <w:spacing w:val="0"/>
          <w:kern w:val="2"/>
          <w:position w:val="-12"/>
          <w:szCs w:val="24"/>
          <w:lang w:val="en-US" w:eastAsia="zh-CN"/>
        </w:rPr>
        <w:t xml:space="preserve">                                   </w:t>
      </w:r>
      <w:r>
        <w:rPr>
          <w:rFonts w:hint="eastAsia" w:ascii="宋体" w:hAnsi="宋体" w:eastAsia="宋体" w:cs="宋体"/>
          <w:color w:val="auto"/>
          <w:spacing w:val="0"/>
          <w:kern w:val="2"/>
          <w:position w:val="-12"/>
          <w:szCs w:val="24"/>
        </w:rPr>
        <w:object>
          <v:shape id="_x0000_i1030" o:spt="75" type="#_x0000_t75" style="height:19pt;width:59.8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36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</w:rPr>
        <w:t xml:space="preserve">       </w:t>
      </w:r>
      <w:r>
        <w:rPr>
          <w:rFonts w:hint="eastAsia" w:cs="宋体"/>
          <w:color w:val="auto"/>
          <w:spacing w:val="0"/>
          <w:kern w:val="2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</w:rPr>
        <w:t xml:space="preserve"> </w:t>
      </w:r>
      <w:r>
        <w:rPr>
          <w:rFonts w:hint="eastAsia" w:cs="宋体"/>
          <w:color w:val="auto"/>
          <w:spacing w:val="0"/>
          <w:kern w:val="2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</w:rPr>
        <w:t xml:space="preserve">  </w:t>
      </w:r>
      <w:r>
        <w:rPr>
          <w:rFonts w:hint="eastAsia" w:cs="宋体"/>
          <w:color w:val="auto"/>
          <w:spacing w:val="0"/>
          <w:kern w:val="2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</w:rPr>
        <w:t>（2）</w:t>
      </w:r>
    </w:p>
    <w:p>
      <w:pPr>
        <w:pStyle w:val="40"/>
        <w:snapToGrid/>
        <w:spacing w:line="360" w:lineRule="auto"/>
        <w:ind w:firstLine="480"/>
        <w:rPr>
          <w:rFonts w:hint="eastAsia" w:ascii="宋体" w:hAnsi="宋体" w:eastAsia="宋体" w:cs="宋体"/>
          <w:color w:val="auto"/>
          <w:spacing w:val="0"/>
          <w:kern w:val="2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2"/>
          <w:szCs w:val="24"/>
        </w:rPr>
        <w:t>式中：</w:t>
      </w:r>
    </w:p>
    <w:p>
      <w:pPr>
        <w:pStyle w:val="40"/>
        <w:snapToGrid/>
        <w:spacing w:line="360" w:lineRule="auto"/>
        <w:ind w:firstLine="480"/>
        <w:rPr>
          <w:rFonts w:hint="eastAsia" w:ascii="宋体" w:hAnsi="宋体" w:eastAsia="宋体" w:cs="宋体"/>
          <w:color w:val="auto"/>
          <w:spacing w:val="0"/>
          <w:kern w:val="2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2"/>
          <w:szCs w:val="24"/>
        </w:rPr>
        <w:object>
          <v:shape id="_x0000_i1031" o:spt="75" type="#_x0000_t75" style="height:12pt;width:19.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38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</w:rPr>
        <w:t>-----示值误差，（测氟</w: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  <w:lang w:eastAsia="zh-CN"/>
        </w:rPr>
        <w:t>含量</w: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</w:rPr>
        <w:t>单位为μg/g，测氯</w: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  <w:lang w:eastAsia="zh-CN"/>
        </w:rPr>
        <w:t>含量</w: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</w:rPr>
        <w:t>单位为%）；</w:t>
      </w:r>
    </w:p>
    <w:p>
      <w:pPr>
        <w:pStyle w:val="40"/>
        <w:snapToGrid/>
        <w:spacing w:line="360" w:lineRule="auto"/>
        <w:ind w:firstLine="480"/>
        <w:rPr>
          <w:rFonts w:hint="eastAsia" w:ascii="宋体" w:hAnsi="宋体" w:eastAsia="宋体" w:cs="宋体"/>
          <w:color w:val="auto"/>
          <w:spacing w:val="0"/>
          <w:kern w:val="2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2"/>
          <w:szCs w:val="24"/>
        </w:rPr>
        <w:object>
          <v:shape id="_x0000_i1032" o:spt="75" type="#_x0000_t75" style="height:15pt;width:12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40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</w:rPr>
        <w:t>-------</w: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  <w:lang w:eastAsia="zh-CN"/>
        </w:rPr>
        <w:t>两次</w: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</w:rPr>
        <w:t>测</w: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  <w:lang w:eastAsia="zh-CN"/>
        </w:rPr>
        <w:t>定</w: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</w:rPr>
        <w:t>干基</w: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  <w:lang w:eastAsia="zh-CN"/>
        </w:rPr>
        <w:t>氟</w: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  <w:lang w:eastAsia="zh-CN"/>
        </w:rPr>
        <w:t>氯含量的</w: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</w:rPr>
        <w:t>平均值，（测氟</w: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  <w:lang w:eastAsia="zh-CN"/>
        </w:rPr>
        <w:t>含量</w: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</w:rPr>
        <w:t>单位为μg/g，测氯</w: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  <w:lang w:eastAsia="zh-CN"/>
        </w:rPr>
        <w:t>含量</w: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</w:rPr>
        <w:t>单位为%）；</w:t>
      </w:r>
    </w:p>
    <w:p>
      <w:pPr>
        <w:pStyle w:val="40"/>
        <w:snapToGrid/>
        <w:spacing w:line="360" w:lineRule="auto"/>
        <w:ind w:firstLine="480"/>
        <w:rPr>
          <w:rFonts w:hint="eastAsia" w:ascii="宋体" w:hAnsi="宋体" w:eastAsia="宋体" w:cs="宋体"/>
          <w:color w:val="auto"/>
          <w:spacing w:val="0"/>
          <w:kern w:val="2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pacing w:val="0"/>
          <w:kern w:val="2"/>
          <w:position w:val="-12"/>
          <w:szCs w:val="24"/>
        </w:rPr>
        <w:object>
          <v:shape id="_x0000_i1033" o:spt="75" type="#_x0000_t75" style="height:16.65pt;width:13.3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42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</w:rPr>
        <w:t>-------标准值，（测氟</w: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  <w:lang w:eastAsia="zh-CN"/>
        </w:rPr>
        <w:t>含量</w: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</w:rPr>
        <w:t>单位为μg/g，测氯</w: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  <w:lang w:eastAsia="zh-CN"/>
        </w:rPr>
        <w:t>含量</w:t>
      </w:r>
      <w:r>
        <w:rPr>
          <w:rFonts w:hint="eastAsia" w:ascii="宋体" w:hAnsi="宋体" w:eastAsia="宋体" w:cs="宋体"/>
          <w:color w:val="auto"/>
          <w:spacing w:val="0"/>
          <w:kern w:val="2"/>
          <w:szCs w:val="24"/>
        </w:rPr>
        <w:t>单位为%）</w:t>
      </w:r>
      <w:r>
        <w:rPr>
          <w:rFonts w:hint="eastAsia" w:cs="宋体"/>
          <w:color w:val="auto"/>
          <w:spacing w:val="0"/>
          <w:kern w:val="2"/>
          <w:szCs w:val="24"/>
          <w:lang w:eastAsia="zh-CN"/>
        </w:rPr>
        <w:t>。</w:t>
      </w:r>
    </w:p>
    <w:p>
      <w:pPr>
        <w:spacing w:line="360" w:lineRule="auto"/>
        <w:rPr>
          <w:rFonts w:hint="eastAsia" w:ascii="黑体" w:hAnsi="黑体" w:eastAsia="黑体" w:cs="黑体"/>
          <w:kern w:val="0"/>
          <w:sz w:val="24"/>
          <w:szCs w:val="24"/>
          <w:lang w:eastAsia="zh-CN"/>
        </w:rPr>
      </w:pPr>
      <w:bookmarkStart w:id="37" w:name="_Toc4263_WPSOffice_Level1"/>
      <w:r>
        <w:rPr>
          <w:rFonts w:hint="eastAsia" w:ascii="黑体" w:hAnsi="黑体" w:eastAsia="黑体" w:cs="黑体"/>
          <w:kern w:val="0"/>
          <w:sz w:val="24"/>
          <w:szCs w:val="24"/>
        </w:rPr>
        <w:t xml:space="preserve">7 </w:t>
      </w:r>
      <w:r>
        <w:rPr>
          <w:rFonts w:hint="eastAsia" w:ascii="黑体" w:hAnsi="黑体" w:eastAsia="黑体" w:cs="黑体"/>
          <w:kern w:val="0"/>
          <w:sz w:val="24"/>
          <w:szCs w:val="24"/>
          <w:lang w:eastAsia="zh-CN"/>
        </w:rPr>
        <w:t>校准结果表达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eastAsia" w:eastAsia="黑体"/>
          <w:kern w:val="0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lang w:val="zh-CN"/>
        </w:rPr>
        <w:t>按本</w:t>
      </w:r>
      <w:r>
        <w:rPr>
          <w:rFonts w:hint="eastAsia" w:ascii="宋体" w:hAnsi="宋体" w:cs="宋体"/>
          <w:sz w:val="24"/>
        </w:rPr>
        <w:t>规范进行校准</w:t>
      </w:r>
      <w:r>
        <w:rPr>
          <w:rFonts w:hint="eastAsia" w:ascii="宋体" w:hAnsi="宋体" w:cs="宋体"/>
          <w:sz w:val="24"/>
          <w:lang w:val="zh-CN"/>
        </w:rPr>
        <w:t>，出具校准证书。</w:t>
      </w:r>
      <w:r>
        <w:rPr>
          <w:rFonts w:hint="eastAsia" w:ascii="宋体" w:hAnsi="宋体" w:cs="宋体"/>
          <w:sz w:val="24"/>
        </w:rPr>
        <w:t>校准</w:t>
      </w:r>
      <w:r>
        <w:rPr>
          <w:rFonts w:hint="eastAsia" w:ascii="宋体" w:hAnsi="宋体" w:cs="宋体"/>
          <w:sz w:val="24"/>
          <w:lang w:val="zh-CN"/>
        </w:rPr>
        <w:t>证书</w:t>
      </w:r>
      <w:r>
        <w:rPr>
          <w:rFonts w:hint="eastAsia" w:ascii="宋体" w:hAnsi="宋体" w:cs="宋体"/>
          <w:sz w:val="24"/>
        </w:rPr>
        <w:t>应包括JJF 1071中所要求的内容，证书内页推荐格式见附录B。</w:t>
      </w:r>
    </w:p>
    <w:p>
      <w:pPr>
        <w:spacing w:line="360" w:lineRule="auto"/>
        <w:rPr>
          <w:rFonts w:hint="eastAsia" w:ascii="黑体" w:hAnsi="黑体" w:eastAsia="黑体" w:cs="黑体"/>
          <w:kern w:val="0"/>
          <w:sz w:val="24"/>
          <w:szCs w:val="24"/>
        </w:rPr>
      </w:pPr>
      <w:r>
        <w:rPr>
          <w:rFonts w:hint="eastAsia" w:ascii="黑体" w:hAnsi="黑体" w:eastAsia="黑体" w:cs="黑体"/>
          <w:kern w:val="0"/>
          <w:sz w:val="24"/>
          <w:szCs w:val="24"/>
          <w:lang w:val="en-US" w:eastAsia="zh-CN"/>
        </w:rPr>
        <w:t>8</w:t>
      </w:r>
      <w:r>
        <w:rPr>
          <w:rFonts w:hint="eastAsia" w:ascii="黑体" w:hAnsi="黑体" w:eastAsia="黑体" w:cs="黑体"/>
          <w:kern w:val="0"/>
          <w:sz w:val="24"/>
          <w:szCs w:val="24"/>
        </w:rPr>
        <w:t>校准周期</w:t>
      </w:r>
      <w:bookmarkEnd w:id="37"/>
    </w:p>
    <w:p>
      <w:pPr>
        <w:pStyle w:val="40"/>
        <w:snapToGrid/>
        <w:spacing w:line="360" w:lineRule="auto"/>
        <w:ind w:firstLine="480"/>
        <w:rPr>
          <w:rFonts w:cs="Times New Roman"/>
          <w:color w:val="auto"/>
          <w:spacing w:val="0"/>
          <w:kern w:val="2"/>
          <w:szCs w:val="22"/>
          <w:lang w:val="zh-CN"/>
        </w:rPr>
      </w:pPr>
      <w:r>
        <w:rPr>
          <w:rFonts w:hint="eastAsia" w:ascii="Times New Roman" w:hAnsi="Times New Roman" w:cs="Times New Roman"/>
          <w:color w:val="auto"/>
          <w:spacing w:val="0"/>
          <w:kern w:val="2"/>
          <w:szCs w:val="24"/>
        </w:rPr>
        <w:t>由于复校时间间隔的长短是由仪器的使用情况、使用者、仪器本身质量等诸多因素所决定的，因此送校单位根据实际使用情况自主决定复校时间间隔。</w:t>
      </w:r>
      <w:r>
        <w:rPr>
          <w:rFonts w:hint="eastAsia" w:cs="Times New Roman"/>
          <w:color w:val="auto"/>
          <w:spacing w:val="0"/>
          <w:kern w:val="2"/>
          <w:szCs w:val="22"/>
          <w:lang w:val="zh-CN"/>
        </w:rPr>
        <w:t>建议复校时间间隔不超过12个月。</w:t>
      </w:r>
    </w:p>
    <w:p>
      <w:pPr>
        <w:pStyle w:val="2"/>
        <w:rPr>
          <w:rFonts w:hint="eastAsia" w:ascii="Times New Roman" w:hAnsi="Times New Roman"/>
          <w:szCs w:val="28"/>
        </w:rPr>
      </w:pPr>
      <w:r>
        <w:rPr>
          <w:rFonts w:ascii="Times New Roman" w:hAnsi="Times New Roman"/>
          <w:sz w:val="24"/>
          <w:szCs w:val="24"/>
        </w:rPr>
        <w:br w:type="page"/>
      </w:r>
      <w:bookmarkStart w:id="38" w:name="_Toc326580621"/>
    </w:p>
    <w:p>
      <w:pPr>
        <w:pStyle w:val="2"/>
        <w:spacing w:before="0" w:after="0" w:line="240" w:lineRule="auto"/>
        <w:rPr>
          <w:rFonts w:ascii="黑体" w:eastAsia="黑体"/>
          <w:b w:val="0"/>
          <w:sz w:val="28"/>
          <w:szCs w:val="28"/>
        </w:rPr>
      </w:pPr>
      <w:bookmarkStart w:id="39" w:name="_Toc6864"/>
      <w:r>
        <w:rPr>
          <w:rFonts w:hint="eastAsia" w:ascii="黑体" w:eastAsia="黑体"/>
          <w:b w:val="0"/>
          <w:sz w:val="28"/>
          <w:szCs w:val="28"/>
        </w:rPr>
        <w:t>附录A</w:t>
      </w:r>
      <w:bookmarkEnd w:id="39"/>
    </w:p>
    <w:p>
      <w:pPr>
        <w:jc w:val="center"/>
        <w:rPr>
          <w:rFonts w:hint="eastAsia"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校准原始记录（推荐）格式样</w:t>
      </w:r>
    </w:p>
    <w:p>
      <w:pPr>
        <w:jc w:val="center"/>
        <w:rPr>
          <w:rFonts w:hint="eastAsia" w:ascii="黑体" w:eastAsia="黑体"/>
          <w:sz w:val="28"/>
          <w:szCs w:val="28"/>
        </w:rPr>
      </w:pPr>
    </w:p>
    <w:p>
      <w:pPr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校准证书编号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rFonts w:hint="eastAsia"/>
          <w:sz w:val="24"/>
          <w:szCs w:val="24"/>
          <w:lang w:val="en-US" w:eastAsia="zh-CN"/>
        </w:rPr>
        <w:t xml:space="preserve">                     原始记录编号：</w:t>
      </w:r>
    </w:p>
    <w:tbl>
      <w:tblPr>
        <w:tblStyle w:val="28"/>
        <w:tblW w:w="85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640"/>
        <w:gridCol w:w="583"/>
        <w:gridCol w:w="764"/>
        <w:gridCol w:w="784"/>
        <w:gridCol w:w="1105"/>
        <w:gridCol w:w="529"/>
        <w:gridCol w:w="697"/>
        <w:gridCol w:w="621"/>
        <w:gridCol w:w="679"/>
        <w:gridCol w:w="649"/>
        <w:gridCol w:w="10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3" w:type="dxa"/>
            <w:gridSpan w:val="4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送检单位</w:t>
            </w:r>
          </w:p>
        </w:tc>
        <w:tc>
          <w:tcPr>
            <w:tcW w:w="1889" w:type="dxa"/>
            <w:gridSpan w:val="2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6" w:type="dxa"/>
            <w:gridSpan w:val="2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仪器名称</w:t>
            </w:r>
          </w:p>
        </w:tc>
        <w:tc>
          <w:tcPr>
            <w:tcW w:w="3048" w:type="dxa"/>
            <w:gridSpan w:val="4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3" w:type="dxa"/>
            <w:gridSpan w:val="4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生产厂家</w:t>
            </w:r>
          </w:p>
        </w:tc>
        <w:tc>
          <w:tcPr>
            <w:tcW w:w="1889" w:type="dxa"/>
            <w:gridSpan w:val="2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6" w:type="dxa"/>
            <w:gridSpan w:val="2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型号规格</w:t>
            </w:r>
          </w:p>
        </w:tc>
        <w:tc>
          <w:tcPr>
            <w:tcW w:w="3048" w:type="dxa"/>
            <w:gridSpan w:val="4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3" w:type="dxa"/>
            <w:gridSpan w:val="4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出厂编号</w:t>
            </w:r>
          </w:p>
        </w:tc>
        <w:tc>
          <w:tcPr>
            <w:tcW w:w="1889" w:type="dxa"/>
            <w:gridSpan w:val="2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6" w:type="dxa"/>
            <w:gridSpan w:val="2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校准日期</w:t>
            </w:r>
          </w:p>
        </w:tc>
        <w:tc>
          <w:tcPr>
            <w:tcW w:w="3048" w:type="dxa"/>
            <w:gridSpan w:val="4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2413" w:type="dxa"/>
            <w:gridSpan w:val="4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实验室温度/℃</w:t>
            </w:r>
          </w:p>
        </w:tc>
        <w:tc>
          <w:tcPr>
            <w:tcW w:w="1889" w:type="dxa"/>
            <w:gridSpan w:val="2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6" w:type="dxa"/>
            <w:gridSpan w:val="2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湿度/%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RH</w:t>
            </w:r>
          </w:p>
        </w:tc>
        <w:tc>
          <w:tcPr>
            <w:tcW w:w="3048" w:type="dxa"/>
            <w:gridSpan w:val="4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3" w:type="dxa"/>
            <w:gridSpan w:val="4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校准地点</w:t>
            </w:r>
          </w:p>
        </w:tc>
        <w:tc>
          <w:tcPr>
            <w:tcW w:w="1889" w:type="dxa"/>
            <w:gridSpan w:val="2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6" w:type="dxa"/>
            <w:gridSpan w:val="2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其他</w:t>
            </w:r>
          </w:p>
        </w:tc>
        <w:tc>
          <w:tcPr>
            <w:tcW w:w="3048" w:type="dxa"/>
            <w:gridSpan w:val="4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3" w:type="dxa"/>
            <w:gridSpan w:val="4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校准人员</w:t>
            </w:r>
          </w:p>
        </w:tc>
        <w:tc>
          <w:tcPr>
            <w:tcW w:w="1889" w:type="dxa"/>
            <w:gridSpan w:val="2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26" w:type="dxa"/>
            <w:gridSpan w:val="2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核验人员</w:t>
            </w:r>
          </w:p>
        </w:tc>
        <w:tc>
          <w:tcPr>
            <w:tcW w:w="3048" w:type="dxa"/>
            <w:gridSpan w:val="4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3" w:type="dxa"/>
            <w:gridSpan w:val="4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依据技术文件</w:t>
            </w:r>
          </w:p>
        </w:tc>
        <w:tc>
          <w:tcPr>
            <w:tcW w:w="6163" w:type="dxa"/>
            <w:gridSpan w:val="8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76" w:type="dxa"/>
            <w:gridSpan w:val="12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校准使用的标准物质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名称</w:t>
            </w:r>
          </w:p>
        </w:tc>
        <w:tc>
          <w:tcPr>
            <w:tcW w:w="640" w:type="dxa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测量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范围</w:t>
            </w:r>
          </w:p>
        </w:tc>
        <w:tc>
          <w:tcPr>
            <w:tcW w:w="4462" w:type="dxa"/>
            <w:gridSpan w:val="6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不确定度/准确度等级/最大允许误差</w:t>
            </w:r>
          </w:p>
        </w:tc>
        <w:tc>
          <w:tcPr>
            <w:tcW w:w="1300" w:type="dxa"/>
            <w:gridSpan w:val="2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证书编号</w:t>
            </w:r>
          </w:p>
        </w:tc>
        <w:tc>
          <w:tcPr>
            <w:tcW w:w="1748" w:type="dxa"/>
            <w:gridSpan w:val="2"/>
          </w:tcPr>
          <w:p>
            <w:p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有限期至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atLeast"/>
        </w:trPr>
        <w:tc>
          <w:tcPr>
            <w:tcW w:w="426" w:type="dxa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40" w:type="dxa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462" w:type="dxa"/>
            <w:gridSpan w:val="6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00" w:type="dxa"/>
            <w:gridSpan w:val="2"/>
          </w:tcPr>
          <w:p>
            <w:pPr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48" w:type="dxa"/>
            <w:gridSpan w:val="2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76" w:type="dxa"/>
            <w:gridSpan w:val="12"/>
          </w:tcPr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校准前检查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   □符合      □不符合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6" w:type="dxa"/>
            <w:gridSpan w:val="2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2.重复性</w:t>
            </w:r>
          </w:p>
        </w:tc>
        <w:tc>
          <w:tcPr>
            <w:tcW w:w="7510" w:type="dxa"/>
            <w:gridSpan w:val="10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</w:trPr>
        <w:tc>
          <w:tcPr>
            <w:tcW w:w="4302" w:type="dxa"/>
            <w:gridSpan w:val="6"/>
            <w:tcBorders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标物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编号：</w:t>
            </w:r>
          </w:p>
        </w:tc>
        <w:tc>
          <w:tcPr>
            <w:tcW w:w="4274" w:type="dxa"/>
            <w:gridSpan w:val="6"/>
            <w:tcBorders>
              <w:lef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标物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编号：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4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成分</w:t>
            </w: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序号</w:t>
            </w:r>
          </w:p>
        </w:tc>
        <w:tc>
          <w:tcPr>
            <w:tcW w:w="1347" w:type="dxa"/>
            <w:gridSpan w:val="2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测试数据</w:t>
            </w:r>
          </w:p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F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bscript"/>
              </w:rPr>
              <w:t xml:space="preserve">ad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/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μg/g</w:t>
            </w:r>
          </w:p>
        </w:tc>
        <w:tc>
          <w:tcPr>
            <w:tcW w:w="188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重复性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μg/g</w:t>
            </w:r>
          </w:p>
        </w:tc>
        <w:tc>
          <w:tcPr>
            <w:tcW w:w="52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成分</w:t>
            </w:r>
          </w:p>
        </w:tc>
        <w:tc>
          <w:tcPr>
            <w:tcW w:w="69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序号</w:t>
            </w:r>
          </w:p>
        </w:tc>
        <w:tc>
          <w:tcPr>
            <w:tcW w:w="130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测试数据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subscript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Cl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bscript"/>
              </w:rPr>
              <w:t xml:space="preserve">ad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/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%</w:t>
            </w:r>
          </w:p>
        </w:tc>
        <w:tc>
          <w:tcPr>
            <w:tcW w:w="1748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重复性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6" w:type="dxa"/>
            <w:vMerge w:val="restart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氟</w:t>
            </w: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1347" w:type="dxa"/>
            <w:gridSpan w:val="2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889" w:type="dxa"/>
            <w:gridSpan w:val="2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ind w:left="210" w:leftChars="100" w:firstLine="210" w:firstLineChars="1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氯</w:t>
            </w:r>
          </w:p>
        </w:tc>
        <w:tc>
          <w:tcPr>
            <w:tcW w:w="69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130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48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1347" w:type="dxa"/>
            <w:gridSpan w:val="2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889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1300" w:type="dxa"/>
            <w:gridSpan w:val="2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48" w:type="dxa"/>
            <w:gridSpan w:val="2"/>
            <w:vMerge w:val="continue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1347" w:type="dxa"/>
            <w:gridSpan w:val="2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889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1300" w:type="dxa"/>
            <w:gridSpan w:val="2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48" w:type="dxa"/>
            <w:gridSpan w:val="2"/>
            <w:vMerge w:val="continue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1347" w:type="dxa"/>
            <w:gridSpan w:val="2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889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1300" w:type="dxa"/>
            <w:gridSpan w:val="2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48" w:type="dxa"/>
            <w:gridSpan w:val="2"/>
            <w:vMerge w:val="continue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1347" w:type="dxa"/>
            <w:gridSpan w:val="2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889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1300" w:type="dxa"/>
            <w:gridSpan w:val="2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48" w:type="dxa"/>
            <w:gridSpan w:val="2"/>
            <w:vMerge w:val="continue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</w:t>
            </w:r>
          </w:p>
        </w:tc>
        <w:tc>
          <w:tcPr>
            <w:tcW w:w="1347" w:type="dxa"/>
            <w:gridSpan w:val="2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889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</w:t>
            </w:r>
          </w:p>
        </w:tc>
        <w:tc>
          <w:tcPr>
            <w:tcW w:w="1300" w:type="dxa"/>
            <w:gridSpan w:val="2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748" w:type="dxa"/>
            <w:gridSpan w:val="2"/>
            <w:vMerge w:val="continue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576" w:type="dxa"/>
            <w:gridSpan w:val="12"/>
            <w:tcBorders>
              <w:lef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示值误差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426" w:type="dxa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成分</w:t>
            </w:r>
          </w:p>
        </w:tc>
        <w:tc>
          <w:tcPr>
            <w:tcW w:w="640" w:type="dxa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标物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编号</w:t>
            </w:r>
          </w:p>
        </w:tc>
        <w:tc>
          <w:tcPr>
            <w:tcW w:w="583" w:type="dxa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subscript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bscript"/>
              </w:rPr>
              <w:t>ad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%</w:t>
            </w:r>
          </w:p>
        </w:tc>
        <w:tc>
          <w:tcPr>
            <w:tcW w:w="764" w:type="dxa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subscript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F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bscript"/>
              </w:rPr>
              <w:t>d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μg/g</w:t>
            </w:r>
          </w:p>
        </w:tc>
        <w:tc>
          <w:tcPr>
            <w:tcW w:w="784" w:type="dxa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均值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μg/g</w:t>
            </w:r>
          </w:p>
        </w:tc>
        <w:tc>
          <w:tcPr>
            <w:tcW w:w="1105" w:type="dxa"/>
            <w:tcBorders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示值误差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μg/g</w:t>
            </w:r>
          </w:p>
        </w:tc>
        <w:tc>
          <w:tcPr>
            <w:tcW w:w="529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成分</w:t>
            </w:r>
          </w:p>
        </w:tc>
        <w:tc>
          <w:tcPr>
            <w:tcW w:w="697" w:type="dxa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标物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编号</w:t>
            </w:r>
          </w:p>
        </w:tc>
        <w:tc>
          <w:tcPr>
            <w:tcW w:w="621" w:type="dxa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subscript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M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bscript"/>
              </w:rPr>
              <w:t>ad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%</w:t>
            </w:r>
          </w:p>
        </w:tc>
        <w:tc>
          <w:tcPr>
            <w:tcW w:w="679" w:type="dxa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subscript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Cl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subscript"/>
              </w:rPr>
              <w:t>d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%</w:t>
            </w:r>
          </w:p>
        </w:tc>
        <w:tc>
          <w:tcPr>
            <w:tcW w:w="64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均值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%</w:t>
            </w:r>
          </w:p>
        </w:tc>
        <w:tc>
          <w:tcPr>
            <w:tcW w:w="1099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示值误差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426" w:type="dxa"/>
            <w:vMerge w:val="restart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氟</w:t>
            </w:r>
          </w:p>
        </w:tc>
        <w:tc>
          <w:tcPr>
            <w:tcW w:w="640" w:type="dxa"/>
            <w:vMerge w:val="restart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3" w:type="dxa"/>
            <w:vMerge w:val="restart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4" w:type="dxa"/>
          </w:tcPr>
          <w:p>
            <w:pPr>
              <w:ind w:left="210" w:leftChars="100"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84" w:type="dxa"/>
            <w:vMerge w:val="restart"/>
          </w:tcPr>
          <w:p>
            <w:pPr>
              <w:ind w:left="210" w:leftChars="100"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right w:val="single" w:color="auto" w:sz="4" w:space="0"/>
            </w:tcBorders>
          </w:tcPr>
          <w:p>
            <w:pPr>
              <w:ind w:left="210" w:leftChars="100" w:firstLine="210" w:firstLineChars="10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29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氯</w:t>
            </w:r>
          </w:p>
        </w:tc>
        <w:tc>
          <w:tcPr>
            <w:tcW w:w="697" w:type="dxa"/>
            <w:vMerge w:val="restart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21" w:type="dxa"/>
            <w:vMerge w:val="restart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79" w:type="dxa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49" w:type="dxa"/>
            <w:vMerge w:val="restart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99" w:type="dxa"/>
            <w:vMerge w:val="restart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6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3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4" w:type="dxa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84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7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21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79" w:type="dxa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49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99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6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40" w:type="dxa"/>
            <w:vMerge w:val="restart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3" w:type="dxa"/>
            <w:vMerge w:val="restart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4" w:type="dxa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84" w:type="dxa"/>
            <w:vMerge w:val="restart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7" w:type="dxa"/>
            <w:vMerge w:val="restart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21" w:type="dxa"/>
            <w:vMerge w:val="restart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79" w:type="dxa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49" w:type="dxa"/>
            <w:vMerge w:val="restart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99" w:type="dxa"/>
            <w:vMerge w:val="restart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6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3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4" w:type="dxa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84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7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21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79" w:type="dxa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49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99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6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40" w:type="dxa"/>
            <w:vMerge w:val="restart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3" w:type="dxa"/>
            <w:vMerge w:val="restart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4" w:type="dxa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84" w:type="dxa"/>
            <w:vMerge w:val="restart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7" w:type="dxa"/>
            <w:vMerge w:val="restart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21" w:type="dxa"/>
            <w:vMerge w:val="restart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79" w:type="dxa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49" w:type="dxa"/>
            <w:vMerge w:val="restart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99" w:type="dxa"/>
            <w:vMerge w:val="restart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6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3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4" w:type="dxa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84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7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21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79" w:type="dxa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49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99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6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40" w:type="dxa"/>
            <w:vMerge w:val="restart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3" w:type="dxa"/>
            <w:vMerge w:val="restart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4" w:type="dxa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84" w:type="dxa"/>
            <w:vMerge w:val="restart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7" w:type="dxa"/>
            <w:vMerge w:val="restart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21" w:type="dxa"/>
            <w:vMerge w:val="restart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79" w:type="dxa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49" w:type="dxa"/>
            <w:vMerge w:val="restart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99" w:type="dxa"/>
            <w:vMerge w:val="restart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26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40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83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64" w:type="dxa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84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29" w:type="dxa"/>
            <w:vMerge w:val="continue"/>
            <w:tcBorders>
              <w:lef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97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21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79" w:type="dxa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49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99" w:type="dxa"/>
            <w:vMerge w:val="continue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302" w:type="dxa"/>
            <w:gridSpan w:val="6"/>
            <w:tcBorders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示值误差不确定度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i/>
                <w:iCs/>
                <w:sz w:val="21"/>
                <w:szCs w:val="21"/>
                <w:lang w:val="en-US" w:eastAsia="zh-CN"/>
              </w:rPr>
              <w:t>U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=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μg/g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i/>
                <w:iCs/>
                <w:sz w:val="21"/>
                <w:szCs w:val="21"/>
                <w:lang w:val="en-US" w:eastAsia="zh-CN"/>
              </w:rPr>
              <w:t>k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=2</w:t>
            </w:r>
          </w:p>
        </w:tc>
        <w:tc>
          <w:tcPr>
            <w:tcW w:w="4274" w:type="dxa"/>
            <w:gridSpan w:val="6"/>
            <w:tcBorders>
              <w:lef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示值误差不确定度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i/>
                <w:iCs/>
                <w:sz w:val="21"/>
                <w:szCs w:val="21"/>
                <w:lang w:val="en-US" w:eastAsia="zh-CN"/>
              </w:rPr>
              <w:t>U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=   %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i/>
                <w:iCs/>
                <w:sz w:val="21"/>
                <w:szCs w:val="21"/>
                <w:lang w:val="en-US" w:eastAsia="zh-CN"/>
              </w:rPr>
              <w:t>k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=2</w:t>
            </w:r>
          </w:p>
        </w:tc>
      </w:tr>
    </w:tbl>
    <w:p>
      <w:pPr>
        <w:jc w:val="center"/>
        <w:rPr>
          <w:rFonts w:hint="eastAsia" w:ascii="黑体" w:eastAsia="黑体"/>
          <w:sz w:val="28"/>
          <w:szCs w:val="28"/>
        </w:rPr>
        <w:sectPr>
          <w:footerReference r:id="rId21" w:type="default"/>
          <w:pgSz w:w="12240" w:h="15840"/>
          <w:pgMar w:top="1440" w:right="1800" w:bottom="1440" w:left="1800" w:header="720" w:footer="72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 w:start="1"/>
          <w:cols w:space="720" w:num="1"/>
        </w:sectPr>
      </w:pPr>
    </w:p>
    <w:bookmarkEnd w:id="38"/>
    <w:p>
      <w:pPr>
        <w:pStyle w:val="2"/>
        <w:spacing w:before="0" w:after="0" w:line="240" w:lineRule="auto"/>
        <w:rPr>
          <w:rFonts w:ascii="黑体" w:eastAsia="黑体"/>
          <w:b w:val="0"/>
          <w:sz w:val="28"/>
          <w:szCs w:val="28"/>
        </w:rPr>
      </w:pPr>
      <w:bookmarkStart w:id="40" w:name="_Toc12648"/>
      <w:r>
        <w:rPr>
          <w:rFonts w:hint="eastAsia" w:ascii="黑体" w:eastAsia="黑体"/>
          <w:b w:val="0"/>
          <w:sz w:val="28"/>
          <w:szCs w:val="28"/>
        </w:rPr>
        <w:t>附录B</w:t>
      </w:r>
      <w:bookmarkEnd w:id="40"/>
    </w:p>
    <w:p>
      <w:pPr>
        <w:jc w:val="center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校准证书内页（推荐）格式样式</w:t>
      </w:r>
    </w:p>
    <w:p>
      <w:pPr>
        <w:pStyle w:val="9"/>
        <w:ind w:firstLine="583"/>
        <w:jc w:val="center"/>
        <w:rPr>
          <w:rFonts w:ascii="宋体" w:hAnsi="宋体"/>
          <w:spacing w:val="16"/>
          <w:sz w:val="24"/>
          <w:szCs w:val="24"/>
        </w:rPr>
      </w:pPr>
    </w:p>
    <w:p>
      <w:pPr>
        <w:tabs>
          <w:tab w:val="left" w:pos="540"/>
        </w:tabs>
        <w:autoSpaceDE w:val="0"/>
        <w:autoSpaceDN w:val="0"/>
        <w:adjustRightInd w:val="0"/>
        <w:jc w:val="center"/>
        <w:rPr>
          <w:rFonts w:hint="eastAsia" w:ascii="黑体" w:hAnsi="黑体" w:eastAsia="黑体" w:cs="黑体"/>
          <w:sz w:val="21"/>
          <w:szCs w:val="21"/>
        </w:rPr>
      </w:pPr>
      <w:r>
        <w:rPr>
          <w:rFonts w:hint="eastAsia" w:ascii="黑体" w:hAnsi="黑体" w:eastAsia="黑体" w:cs="黑体"/>
          <w:sz w:val="21"/>
          <w:szCs w:val="21"/>
        </w:rPr>
        <w:t>表B.1 校准证书编号</w:t>
      </w:r>
    </w:p>
    <w:p>
      <w:pPr>
        <w:pStyle w:val="9"/>
        <w:ind w:firstLine="0" w:firstLineChars="0"/>
        <w:jc w:val="left"/>
        <w:rPr>
          <w:rFonts w:ascii="宋体" w:hAnsi="宋体"/>
          <w:spacing w:val="16"/>
          <w:sz w:val="24"/>
          <w:szCs w:val="24"/>
        </w:rPr>
      </w:pPr>
    </w:p>
    <w:tbl>
      <w:tblPr>
        <w:tblStyle w:val="28"/>
        <w:tblW w:w="88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4"/>
        <w:gridCol w:w="2214"/>
        <w:gridCol w:w="2214"/>
        <w:gridCol w:w="2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4" w:type="dxa"/>
          </w:tcPr>
          <w:p>
            <w:pPr>
              <w:spacing w:beforeLines="50" w:afterLines="50"/>
              <w:ind w:firstLine="420" w:firstLineChars="20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校准地点</w:t>
            </w:r>
          </w:p>
        </w:tc>
        <w:tc>
          <w:tcPr>
            <w:tcW w:w="2214" w:type="dxa"/>
          </w:tcPr>
          <w:p>
            <w:pPr>
              <w:spacing w:beforeLines="50" w:afterLines="50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214" w:type="dxa"/>
          </w:tcPr>
          <w:p>
            <w:pPr>
              <w:spacing w:beforeLines="50" w:afterLines="50"/>
              <w:ind w:firstLine="420" w:firstLineChars="20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环境温度/℃</w:t>
            </w:r>
          </w:p>
        </w:tc>
        <w:tc>
          <w:tcPr>
            <w:tcW w:w="2214" w:type="dxa"/>
          </w:tcPr>
          <w:p>
            <w:pPr>
              <w:spacing w:beforeLines="50" w:afterLines="5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4" w:type="dxa"/>
          </w:tcPr>
          <w:p>
            <w:pPr>
              <w:spacing w:beforeLines="50" w:afterLines="50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 xml:space="preserve">   相对湿度/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%</w:t>
            </w:r>
          </w:p>
        </w:tc>
        <w:tc>
          <w:tcPr>
            <w:tcW w:w="2214" w:type="dxa"/>
          </w:tcPr>
          <w:p>
            <w:pPr>
              <w:spacing w:beforeLines="50" w:afterLines="50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214" w:type="dxa"/>
          </w:tcPr>
          <w:p>
            <w:pPr>
              <w:spacing w:beforeLines="50" w:afterLines="5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 xml:space="preserve">   依据技术文件</w:t>
            </w:r>
          </w:p>
        </w:tc>
        <w:tc>
          <w:tcPr>
            <w:tcW w:w="2214" w:type="dxa"/>
          </w:tcPr>
          <w:p>
            <w:pPr>
              <w:spacing w:beforeLines="50" w:afterLines="50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14" w:type="dxa"/>
          </w:tcPr>
          <w:p>
            <w:pPr>
              <w:spacing w:beforeLines="50" w:afterLines="5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 xml:space="preserve">   标准物质编号</w:t>
            </w:r>
          </w:p>
        </w:tc>
        <w:tc>
          <w:tcPr>
            <w:tcW w:w="2214" w:type="dxa"/>
          </w:tcPr>
          <w:p>
            <w:pPr>
              <w:spacing w:beforeLines="50" w:afterLines="50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214" w:type="dxa"/>
          </w:tcPr>
          <w:p>
            <w:pPr>
              <w:spacing w:beforeLines="50" w:afterLines="5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 xml:space="preserve">   标准物质批号</w:t>
            </w:r>
          </w:p>
        </w:tc>
        <w:tc>
          <w:tcPr>
            <w:tcW w:w="2214" w:type="dxa"/>
          </w:tcPr>
          <w:p>
            <w:pPr>
              <w:spacing w:beforeLines="50" w:afterLines="50"/>
              <w:rPr>
                <w:rFonts w:ascii="宋体" w:hAnsi="宋体"/>
                <w:sz w:val="24"/>
              </w:rPr>
            </w:pPr>
          </w:p>
        </w:tc>
      </w:tr>
    </w:tbl>
    <w:p>
      <w:pPr>
        <w:tabs>
          <w:tab w:val="left" w:pos="540"/>
        </w:tabs>
        <w:autoSpaceDE w:val="0"/>
        <w:autoSpaceDN w:val="0"/>
        <w:adjustRightInd w:val="0"/>
        <w:rPr>
          <w:rFonts w:ascii="黑体" w:hAnsi="宋体" w:eastAsia="黑体"/>
          <w:spacing w:val="20"/>
          <w:sz w:val="28"/>
          <w:szCs w:val="28"/>
        </w:rPr>
      </w:pPr>
    </w:p>
    <w:p>
      <w:pPr>
        <w:tabs>
          <w:tab w:val="left" w:pos="540"/>
        </w:tabs>
        <w:autoSpaceDE w:val="0"/>
        <w:autoSpaceDN w:val="0"/>
        <w:adjustRightInd w:val="0"/>
        <w:rPr>
          <w:rFonts w:ascii="黑体" w:hAnsi="宋体" w:eastAsia="黑体"/>
          <w:spacing w:val="20"/>
          <w:sz w:val="28"/>
          <w:szCs w:val="28"/>
        </w:rPr>
      </w:pPr>
    </w:p>
    <w:p>
      <w:pPr>
        <w:tabs>
          <w:tab w:val="left" w:pos="540"/>
        </w:tabs>
        <w:autoSpaceDE w:val="0"/>
        <w:autoSpaceDN w:val="0"/>
        <w:adjustRightInd w:val="0"/>
        <w:jc w:val="center"/>
        <w:rPr>
          <w:rFonts w:ascii="黑体" w:hAnsi="宋体" w:eastAsia="黑体"/>
          <w:spacing w:val="20"/>
          <w:sz w:val="28"/>
          <w:szCs w:val="28"/>
        </w:rPr>
      </w:pPr>
      <w:r>
        <w:rPr>
          <w:rFonts w:hint="eastAsia" w:ascii="黑体" w:hAnsi="宋体" w:eastAsia="黑体"/>
          <w:spacing w:val="20"/>
          <w:sz w:val="28"/>
          <w:szCs w:val="28"/>
        </w:rPr>
        <w:t>校准结果</w:t>
      </w:r>
    </w:p>
    <w:p>
      <w:pPr>
        <w:numPr>
          <w:ilvl w:val="0"/>
          <w:numId w:val="2"/>
        </w:numPr>
        <w:tabs>
          <w:tab w:val="left" w:pos="540"/>
        </w:tabs>
        <w:autoSpaceDE w:val="0"/>
        <w:autoSpaceDN w:val="0"/>
        <w:adjustRightInd w:val="0"/>
        <w:rPr>
          <w:rFonts w:hint="eastAsia"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  <w:lang w:eastAsia="zh-CN"/>
        </w:rPr>
        <w:t>校准前</w:t>
      </w:r>
      <w:r>
        <w:rPr>
          <w:rFonts w:hint="eastAsia" w:ascii="黑体" w:hAnsi="黑体" w:eastAsia="黑体" w:cs="黑体"/>
          <w:sz w:val="24"/>
        </w:rPr>
        <w:t>检查</w:t>
      </w:r>
    </w:p>
    <w:p>
      <w:pPr>
        <w:tabs>
          <w:tab w:val="left" w:pos="540"/>
        </w:tabs>
        <w:autoSpaceDE w:val="0"/>
        <w:autoSpaceDN w:val="0"/>
        <w:adjustRightInd w:val="0"/>
        <w:jc w:val="center"/>
        <w:rPr>
          <w:rFonts w:hint="eastAsia" w:ascii="黑体" w:hAnsi="黑体" w:eastAsia="黑体" w:cs="黑体"/>
          <w:sz w:val="21"/>
          <w:szCs w:val="21"/>
        </w:rPr>
      </w:pPr>
      <w:r>
        <w:rPr>
          <w:rFonts w:hint="eastAsia" w:ascii="黑体" w:hAnsi="黑体" w:eastAsia="黑体" w:cs="黑体"/>
          <w:sz w:val="21"/>
          <w:szCs w:val="21"/>
        </w:rPr>
        <w:t>表B.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2</w:t>
      </w:r>
      <w:r>
        <w:rPr>
          <w:rFonts w:hint="eastAsia" w:ascii="黑体" w:hAnsi="黑体" w:eastAsia="黑体" w:cs="黑体"/>
          <w:sz w:val="21"/>
          <w:szCs w:val="21"/>
        </w:rPr>
        <w:t xml:space="preserve"> 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校准前</w:t>
      </w:r>
      <w:r>
        <w:rPr>
          <w:rFonts w:hint="eastAsia" w:ascii="黑体" w:hAnsi="黑体" w:eastAsia="黑体" w:cs="黑体"/>
          <w:sz w:val="21"/>
          <w:szCs w:val="21"/>
        </w:rPr>
        <w:t>检查</w:t>
      </w:r>
    </w:p>
    <w:tbl>
      <w:tblPr>
        <w:tblStyle w:val="29"/>
        <w:tblW w:w="8847" w:type="dxa"/>
        <w:jc w:val="center"/>
        <w:tblInd w:w="-3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7"/>
        <w:gridCol w:w="44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40"/>
              </w:tabs>
              <w:autoSpaceDE w:val="0"/>
              <w:autoSpaceDN w:val="0"/>
              <w:adjustRightInd w:val="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检查项目</w:t>
            </w:r>
          </w:p>
        </w:tc>
        <w:tc>
          <w:tcPr>
            <w:tcW w:w="4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40"/>
              </w:tabs>
              <w:autoSpaceDE w:val="0"/>
              <w:autoSpaceDN w:val="0"/>
              <w:adjustRightInd w:val="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检查结果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40"/>
              </w:tabs>
              <w:autoSpaceDE w:val="0"/>
              <w:autoSpaceDN w:val="0"/>
              <w:adjustRightInd w:val="0"/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  <w:lang w:eastAsia="zh-CN"/>
              </w:rPr>
              <w:t>校准前</w:t>
            </w:r>
            <w:r>
              <w:rPr>
                <w:rFonts w:hint="eastAsia" w:ascii="宋体" w:hAnsi="宋体"/>
                <w:sz w:val="21"/>
                <w:szCs w:val="21"/>
              </w:rPr>
              <w:t>检查</w:t>
            </w:r>
          </w:p>
        </w:tc>
        <w:tc>
          <w:tcPr>
            <w:tcW w:w="4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40"/>
              </w:tabs>
              <w:autoSpaceDE w:val="0"/>
              <w:autoSpaceDN w:val="0"/>
              <w:adjustRightInd w:val="0"/>
              <w:jc w:val="center"/>
              <w:rPr>
                <w:rFonts w:ascii="宋体"/>
                <w:sz w:val="21"/>
                <w:szCs w:val="21"/>
              </w:rPr>
            </w:pPr>
          </w:p>
        </w:tc>
      </w:tr>
    </w:tbl>
    <w:p>
      <w:pPr>
        <w:tabs>
          <w:tab w:val="left" w:pos="540"/>
        </w:tabs>
        <w:autoSpaceDE w:val="0"/>
        <w:autoSpaceDN w:val="0"/>
        <w:adjustRightInd w:val="0"/>
        <w:rPr>
          <w:rFonts w:hint="eastAsia" w:ascii="黑体" w:hAnsi="黑体" w:eastAsia="黑体" w:cs="黑体"/>
          <w:sz w:val="24"/>
        </w:rPr>
      </w:pPr>
    </w:p>
    <w:p>
      <w:pPr>
        <w:numPr>
          <w:ilvl w:val="0"/>
          <w:numId w:val="2"/>
        </w:numPr>
        <w:autoSpaceDE w:val="0"/>
        <w:autoSpaceDN w:val="0"/>
        <w:adjustRightInd w:val="0"/>
        <w:jc w:val="left"/>
        <w:rPr>
          <w:rFonts w:hint="eastAsia"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</w:rPr>
        <w:t>校准结果</w:t>
      </w:r>
    </w:p>
    <w:p>
      <w:pPr>
        <w:numPr>
          <w:ilvl w:val="0"/>
          <w:numId w:val="0"/>
        </w:numPr>
        <w:autoSpaceDE w:val="0"/>
        <w:autoSpaceDN w:val="0"/>
        <w:adjustRightInd w:val="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sz w:val="24"/>
          <w:szCs w:val="24"/>
        </w:rPr>
        <w:t>示值重复性：</w:t>
      </w:r>
    </w:p>
    <w:p>
      <w:pPr>
        <w:numPr>
          <w:ilvl w:val="0"/>
          <w:numId w:val="0"/>
        </w:numPr>
        <w:autoSpaceDE w:val="0"/>
        <w:autoSpaceDN w:val="0"/>
        <w:adjustRightInd w:val="0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测氟含量示值重复性：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μg/g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测氯含量示值重复性：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%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</w:p>
    <w:p>
      <w:pPr>
        <w:numPr>
          <w:ilvl w:val="0"/>
          <w:numId w:val="0"/>
        </w:numPr>
        <w:autoSpaceDE w:val="0"/>
        <w:autoSpaceDN w:val="0"/>
        <w:adjustRightInd w:val="0"/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示值误差：</w:t>
      </w:r>
    </w:p>
    <w:p>
      <w:pPr>
        <w:autoSpaceDE w:val="0"/>
        <w:autoSpaceDN w:val="0"/>
        <w:adjustRightInd w:val="0"/>
        <w:jc w:val="center"/>
        <w:rPr>
          <w:rFonts w:hint="eastAsia" w:ascii="黑体" w:hAnsi="黑体" w:eastAsia="黑体" w:cs="黑体"/>
          <w:sz w:val="21"/>
          <w:szCs w:val="21"/>
          <w:lang w:eastAsia="zh-CN"/>
        </w:rPr>
      </w:pPr>
      <w:r>
        <w:rPr>
          <w:rFonts w:hint="eastAsia" w:ascii="黑体" w:hAnsi="黑体" w:eastAsia="黑体" w:cs="黑体"/>
          <w:sz w:val="21"/>
          <w:szCs w:val="21"/>
        </w:rPr>
        <w:t>表B.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3</w:t>
      </w:r>
      <w:r>
        <w:rPr>
          <w:rFonts w:hint="eastAsia" w:ascii="黑体" w:hAnsi="黑体" w:eastAsia="黑体" w:cs="黑体"/>
          <w:sz w:val="21"/>
          <w:szCs w:val="21"/>
        </w:rPr>
        <w:t xml:space="preserve"> 示值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误差</w:t>
      </w:r>
    </w:p>
    <w:tbl>
      <w:tblPr>
        <w:tblStyle w:val="29"/>
        <w:tblW w:w="8387" w:type="dxa"/>
        <w:jc w:val="center"/>
        <w:tblInd w:w="-98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3"/>
        <w:gridCol w:w="851"/>
        <w:gridCol w:w="851"/>
        <w:gridCol w:w="851"/>
        <w:gridCol w:w="851"/>
        <w:gridCol w:w="851"/>
        <w:gridCol w:w="851"/>
        <w:gridCol w:w="851"/>
        <w:gridCol w:w="8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573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项目</w:t>
            </w:r>
          </w:p>
        </w:tc>
        <w:tc>
          <w:tcPr>
            <w:tcW w:w="3404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测氟含量数据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μg/g</w:t>
            </w:r>
          </w:p>
        </w:tc>
        <w:tc>
          <w:tcPr>
            <w:tcW w:w="3410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测氟含量数据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/%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1573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标准物质标值</w:t>
            </w:r>
          </w:p>
        </w:tc>
        <w:tc>
          <w:tcPr>
            <w:tcW w:w="85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  <w:tc>
          <w:tcPr>
            <w:tcW w:w="85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  <w:tc>
          <w:tcPr>
            <w:tcW w:w="85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5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85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5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1573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示值平均值</w:t>
            </w:r>
          </w:p>
        </w:tc>
        <w:tc>
          <w:tcPr>
            <w:tcW w:w="85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5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1573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示值误差</w:t>
            </w:r>
          </w:p>
        </w:tc>
        <w:tc>
          <w:tcPr>
            <w:tcW w:w="85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5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1573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示值误差不确定度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i/>
                <w:sz w:val="21"/>
                <w:szCs w:val="21"/>
              </w:rPr>
              <w:t>k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=2）</w:t>
            </w:r>
          </w:p>
        </w:tc>
        <w:tc>
          <w:tcPr>
            <w:tcW w:w="85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57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</w:tbl>
    <w:p>
      <w:pPr>
        <w:numPr>
          <w:ilvl w:val="0"/>
          <w:numId w:val="0"/>
        </w:numPr>
        <w:autoSpaceDE w:val="0"/>
        <w:autoSpaceDN w:val="0"/>
        <w:adjustRightInd w:val="0"/>
        <w:jc w:val="both"/>
        <w:rPr>
          <w:rFonts w:hint="eastAsia" w:ascii="宋体" w:hAnsi="宋体"/>
          <w:sz w:val="24"/>
          <w:lang w:val="en-US" w:eastAsia="zh-CN"/>
        </w:rPr>
      </w:pPr>
    </w:p>
    <w:p>
      <w:pPr>
        <w:autoSpaceDE w:val="0"/>
        <w:autoSpaceDN w:val="0"/>
        <w:adjustRightInd w:val="0"/>
        <w:jc w:val="center"/>
        <w:rPr>
          <w:rFonts w:ascii="宋体" w:hAnsi="宋体"/>
          <w:sz w:val="24"/>
        </w:rPr>
      </w:pPr>
    </w:p>
    <w:p>
      <w:pPr>
        <w:tabs>
          <w:tab w:val="left" w:pos="6315"/>
        </w:tabs>
        <w:spacing w:line="360" w:lineRule="auto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br w:type="page"/>
      </w:r>
    </w:p>
    <w:p>
      <w:pPr>
        <w:pStyle w:val="2"/>
        <w:spacing w:before="0" w:after="0" w:line="240" w:lineRule="auto"/>
        <w:rPr>
          <w:rFonts w:ascii="黑体" w:eastAsia="黑体"/>
          <w:b w:val="0"/>
          <w:sz w:val="28"/>
          <w:szCs w:val="28"/>
        </w:rPr>
      </w:pPr>
      <w:bookmarkStart w:id="41" w:name="_Toc21145"/>
      <w:r>
        <w:rPr>
          <w:rFonts w:hint="eastAsia" w:ascii="黑体" w:eastAsia="黑体"/>
          <w:b w:val="0"/>
          <w:sz w:val="28"/>
          <w:szCs w:val="28"/>
        </w:rPr>
        <w:t>附录C</w:t>
      </w:r>
      <w:bookmarkEnd w:id="41"/>
    </w:p>
    <w:p>
      <w:pPr>
        <w:jc w:val="center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  <w:lang w:eastAsia="zh-CN"/>
        </w:rPr>
        <w:t>煤中氟</w:t>
      </w:r>
      <w:r>
        <w:rPr>
          <w:rFonts w:hint="eastAsia" w:ascii="黑体" w:eastAsia="黑体"/>
          <w:sz w:val="28"/>
          <w:szCs w:val="28"/>
        </w:rPr>
        <w:t>/</w:t>
      </w:r>
      <w:r>
        <w:rPr>
          <w:rFonts w:hint="eastAsia" w:ascii="黑体" w:eastAsia="黑体"/>
          <w:sz w:val="28"/>
          <w:szCs w:val="28"/>
          <w:lang w:eastAsia="zh-CN"/>
        </w:rPr>
        <w:t>氯成分有证</w:t>
      </w:r>
      <w:r>
        <w:rPr>
          <w:rFonts w:hint="eastAsia" w:ascii="黑体" w:eastAsia="黑体"/>
          <w:sz w:val="28"/>
          <w:szCs w:val="28"/>
        </w:rPr>
        <w:t>标准物质</w:t>
      </w:r>
    </w:p>
    <w:p>
      <w:pPr>
        <w:tabs>
          <w:tab w:val="left" w:pos="540"/>
        </w:tabs>
        <w:autoSpaceDE w:val="0"/>
        <w:autoSpaceDN w:val="0"/>
        <w:adjustRightInd w:val="0"/>
        <w:jc w:val="center"/>
        <w:rPr>
          <w:rFonts w:ascii="宋体" w:hAnsi="宋体"/>
          <w:sz w:val="24"/>
        </w:rPr>
      </w:pPr>
    </w:p>
    <w:p>
      <w:pPr>
        <w:tabs>
          <w:tab w:val="left" w:pos="540"/>
        </w:tabs>
        <w:autoSpaceDE w:val="0"/>
        <w:autoSpaceDN w:val="0"/>
        <w:adjustRightInd w:val="0"/>
        <w:jc w:val="center"/>
        <w:rPr>
          <w:rFonts w:hint="eastAsia" w:ascii="黑体" w:hAnsi="黑体" w:eastAsia="黑体" w:cs="黑体"/>
          <w:sz w:val="21"/>
          <w:szCs w:val="21"/>
        </w:rPr>
      </w:pPr>
      <w:r>
        <w:rPr>
          <w:rFonts w:hint="eastAsia" w:ascii="黑体" w:hAnsi="黑体" w:eastAsia="黑体" w:cs="黑体"/>
          <w:sz w:val="21"/>
          <w:szCs w:val="21"/>
        </w:rPr>
        <w:t>表C.1 国家一级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煤中氟</w:t>
      </w:r>
      <w:r>
        <w:rPr>
          <w:rFonts w:hint="eastAsia" w:ascii="黑体" w:hAnsi="黑体" w:eastAsia="黑体" w:cs="黑体"/>
          <w:sz w:val="21"/>
          <w:szCs w:val="21"/>
        </w:rPr>
        <w:t>/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氯</w:t>
      </w:r>
      <w:r>
        <w:rPr>
          <w:rFonts w:hint="eastAsia" w:ascii="黑体" w:hAnsi="黑体" w:eastAsia="黑体" w:cs="黑体"/>
          <w:sz w:val="21"/>
          <w:szCs w:val="21"/>
        </w:rPr>
        <w:t>标准物质列表</w:t>
      </w:r>
    </w:p>
    <w:tbl>
      <w:tblPr>
        <w:tblStyle w:val="29"/>
        <w:tblpPr w:leftFromText="180" w:rightFromText="180" w:vertAnchor="text" w:horzAnchor="page" w:tblpX="1795" w:tblpY="314"/>
        <w:tblOverlap w:val="never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1"/>
        <w:gridCol w:w="2130"/>
        <w:gridCol w:w="2131"/>
        <w:gridCol w:w="2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2131" w:type="dxa"/>
            <w:vAlign w:val="center"/>
          </w:tcPr>
          <w:p>
            <w:pPr>
              <w:tabs>
                <w:tab w:val="left" w:pos="5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名称</w:t>
            </w:r>
          </w:p>
        </w:tc>
        <w:tc>
          <w:tcPr>
            <w:tcW w:w="2130" w:type="dxa"/>
            <w:vAlign w:val="center"/>
          </w:tcPr>
          <w:p>
            <w:pPr>
              <w:tabs>
                <w:tab w:val="left" w:pos="5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编号</w:t>
            </w:r>
          </w:p>
        </w:tc>
        <w:tc>
          <w:tcPr>
            <w:tcW w:w="2131" w:type="dxa"/>
            <w:vAlign w:val="center"/>
          </w:tcPr>
          <w:p>
            <w:pPr>
              <w:tabs>
                <w:tab w:val="left" w:pos="540"/>
              </w:tabs>
              <w:autoSpaceDE w:val="0"/>
              <w:autoSpaceDN w:val="0"/>
              <w:adjustRightInd w:val="0"/>
              <w:spacing w:line="360" w:lineRule="auto"/>
              <w:ind w:firstLine="420" w:firstLineChars="200"/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标称值</w:t>
            </w:r>
          </w:p>
        </w:tc>
        <w:tc>
          <w:tcPr>
            <w:tcW w:w="2130" w:type="dxa"/>
            <w:vAlign w:val="center"/>
          </w:tcPr>
          <w:p>
            <w:pPr>
              <w:tabs>
                <w:tab w:val="left" w:pos="5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不确定度</w:t>
            </w:r>
            <w:r>
              <w:rPr>
                <w:rFonts w:hint="eastAsia" w:ascii="宋体" w:hAnsi="宋体" w:eastAsia="宋体" w:cs="宋体"/>
                <w:i/>
                <w:iCs/>
                <w:sz w:val="21"/>
                <w:szCs w:val="21"/>
                <w:lang w:val="en-US" w:eastAsia="zh-CN"/>
              </w:rPr>
              <w:t>U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（</w:t>
            </w:r>
            <w:r>
              <w:rPr>
                <w:rFonts w:hint="eastAsia" w:ascii="宋体" w:hAnsi="宋体" w:eastAsia="宋体" w:cs="宋体"/>
                <w:i/>
                <w:sz w:val="21"/>
                <w:szCs w:val="21"/>
              </w:rPr>
              <w:t>k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=2）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2131" w:type="dxa"/>
            <w:vMerge w:val="restart"/>
            <w:vAlign w:val="center"/>
          </w:tcPr>
          <w:p>
            <w:pPr>
              <w:tabs>
                <w:tab w:val="left" w:pos="5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煤中氟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标准物质</w:t>
            </w:r>
          </w:p>
        </w:tc>
        <w:tc>
          <w:tcPr>
            <w:tcW w:w="2130" w:type="dxa"/>
            <w:vAlign w:val="center"/>
          </w:tcPr>
          <w:p>
            <w:pPr>
              <w:tabs>
                <w:tab w:val="left" w:pos="5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GBW11121</w:t>
            </w:r>
          </w:p>
        </w:tc>
        <w:tc>
          <w:tcPr>
            <w:tcW w:w="2131" w:type="dxa"/>
            <w:vAlign w:val="center"/>
          </w:tcPr>
          <w:p>
            <w:pPr>
              <w:tabs>
                <w:tab w:val="left" w:pos="5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247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μg/g</w:t>
            </w:r>
          </w:p>
        </w:tc>
        <w:tc>
          <w:tcPr>
            <w:tcW w:w="2130" w:type="dxa"/>
            <w:vAlign w:val="center"/>
          </w:tcPr>
          <w:p>
            <w:pPr>
              <w:tabs>
                <w:tab w:val="left" w:pos="5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μg/g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2131" w:type="dxa"/>
            <w:vMerge w:val="continue"/>
            <w:vAlign w:val="center"/>
          </w:tcPr>
          <w:p>
            <w:pPr>
              <w:tabs>
                <w:tab w:val="left" w:pos="5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  <w:tc>
          <w:tcPr>
            <w:tcW w:w="2130" w:type="dxa"/>
            <w:vAlign w:val="center"/>
          </w:tcPr>
          <w:p>
            <w:pPr>
              <w:tabs>
                <w:tab w:val="left" w:pos="5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GBW11122</w:t>
            </w:r>
          </w:p>
        </w:tc>
        <w:tc>
          <w:tcPr>
            <w:tcW w:w="2131" w:type="dxa"/>
            <w:vAlign w:val="center"/>
          </w:tcPr>
          <w:p>
            <w:pPr>
              <w:tabs>
                <w:tab w:val="left" w:pos="5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864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μg/g</w:t>
            </w:r>
          </w:p>
        </w:tc>
        <w:tc>
          <w:tcPr>
            <w:tcW w:w="2130" w:type="dxa"/>
            <w:vAlign w:val="center"/>
          </w:tcPr>
          <w:p>
            <w:pPr>
              <w:tabs>
                <w:tab w:val="left" w:pos="5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μg/g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2131" w:type="dxa"/>
            <w:vMerge w:val="continue"/>
            <w:vAlign w:val="center"/>
          </w:tcPr>
          <w:p>
            <w:pPr>
              <w:tabs>
                <w:tab w:val="left" w:pos="5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  <w:tc>
          <w:tcPr>
            <w:tcW w:w="2130" w:type="dxa"/>
            <w:vAlign w:val="center"/>
          </w:tcPr>
          <w:p>
            <w:pPr>
              <w:tabs>
                <w:tab w:val="left" w:pos="5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GBW11123</w:t>
            </w:r>
          </w:p>
        </w:tc>
        <w:tc>
          <w:tcPr>
            <w:tcW w:w="2131" w:type="dxa"/>
            <w:vAlign w:val="center"/>
          </w:tcPr>
          <w:p>
            <w:pPr>
              <w:tabs>
                <w:tab w:val="left" w:pos="5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1496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μg/g</w:t>
            </w:r>
          </w:p>
        </w:tc>
        <w:tc>
          <w:tcPr>
            <w:tcW w:w="2130" w:type="dxa"/>
            <w:vAlign w:val="center"/>
          </w:tcPr>
          <w:p>
            <w:pPr>
              <w:tabs>
                <w:tab w:val="left" w:pos="5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μg/g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2131" w:type="dxa"/>
            <w:vMerge w:val="continue"/>
            <w:vAlign w:val="center"/>
          </w:tcPr>
          <w:p>
            <w:pPr>
              <w:tabs>
                <w:tab w:val="left" w:pos="5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  <w:tc>
          <w:tcPr>
            <w:tcW w:w="2130" w:type="dxa"/>
            <w:vAlign w:val="center"/>
          </w:tcPr>
          <w:p>
            <w:pPr>
              <w:tabs>
                <w:tab w:val="left" w:pos="5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GBW11156</w:t>
            </w:r>
          </w:p>
        </w:tc>
        <w:tc>
          <w:tcPr>
            <w:tcW w:w="2131" w:type="dxa"/>
            <w:vAlign w:val="center"/>
          </w:tcPr>
          <w:p>
            <w:pPr>
              <w:tabs>
                <w:tab w:val="left" w:pos="5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146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μg/g</w:t>
            </w:r>
          </w:p>
        </w:tc>
        <w:tc>
          <w:tcPr>
            <w:tcW w:w="2130" w:type="dxa"/>
            <w:vAlign w:val="center"/>
          </w:tcPr>
          <w:p>
            <w:pPr>
              <w:tabs>
                <w:tab w:val="left" w:pos="5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μg/g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2131" w:type="dxa"/>
            <w:vMerge w:val="continue"/>
            <w:vAlign w:val="center"/>
          </w:tcPr>
          <w:p>
            <w:pPr>
              <w:tabs>
                <w:tab w:val="left" w:pos="5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30" w:type="dxa"/>
            <w:vAlign w:val="center"/>
          </w:tcPr>
          <w:p>
            <w:pPr>
              <w:tabs>
                <w:tab w:val="left" w:pos="5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GBW11157</w:t>
            </w:r>
          </w:p>
        </w:tc>
        <w:tc>
          <w:tcPr>
            <w:tcW w:w="2131" w:type="dxa"/>
            <w:vAlign w:val="center"/>
          </w:tcPr>
          <w:p>
            <w:pPr>
              <w:tabs>
                <w:tab w:val="left" w:pos="5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170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μg/g</w:t>
            </w:r>
          </w:p>
        </w:tc>
        <w:tc>
          <w:tcPr>
            <w:tcW w:w="2130" w:type="dxa"/>
            <w:vAlign w:val="center"/>
          </w:tcPr>
          <w:p>
            <w:pPr>
              <w:tabs>
                <w:tab w:val="left" w:pos="5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μg/g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2131" w:type="dxa"/>
            <w:vMerge w:val="continue"/>
            <w:vAlign w:val="center"/>
          </w:tcPr>
          <w:p>
            <w:pPr>
              <w:tabs>
                <w:tab w:val="left" w:pos="5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30" w:type="dxa"/>
            <w:vAlign w:val="center"/>
          </w:tcPr>
          <w:p>
            <w:pPr>
              <w:tabs>
                <w:tab w:val="left" w:pos="5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GBW11158</w:t>
            </w:r>
          </w:p>
        </w:tc>
        <w:tc>
          <w:tcPr>
            <w:tcW w:w="2131" w:type="dxa"/>
            <w:vAlign w:val="center"/>
          </w:tcPr>
          <w:p>
            <w:pPr>
              <w:tabs>
                <w:tab w:val="left" w:pos="5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93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μg/g</w:t>
            </w:r>
          </w:p>
        </w:tc>
        <w:tc>
          <w:tcPr>
            <w:tcW w:w="2130" w:type="dxa"/>
            <w:vAlign w:val="center"/>
          </w:tcPr>
          <w:p>
            <w:pPr>
              <w:tabs>
                <w:tab w:val="left" w:pos="5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μg/g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2131" w:type="dxa"/>
            <w:vMerge w:val="continue"/>
            <w:vAlign w:val="center"/>
          </w:tcPr>
          <w:p>
            <w:pPr>
              <w:tabs>
                <w:tab w:val="left" w:pos="5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30" w:type="dxa"/>
            <w:vAlign w:val="center"/>
          </w:tcPr>
          <w:p>
            <w:pPr>
              <w:tabs>
                <w:tab w:val="left" w:pos="5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GBW11159</w:t>
            </w:r>
          </w:p>
        </w:tc>
        <w:tc>
          <w:tcPr>
            <w:tcW w:w="2131" w:type="dxa"/>
            <w:vAlign w:val="center"/>
          </w:tcPr>
          <w:p>
            <w:pPr>
              <w:tabs>
                <w:tab w:val="left" w:pos="5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145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μg/g</w:t>
            </w:r>
          </w:p>
        </w:tc>
        <w:tc>
          <w:tcPr>
            <w:tcW w:w="2130" w:type="dxa"/>
            <w:vAlign w:val="center"/>
          </w:tcPr>
          <w:p>
            <w:pPr>
              <w:tabs>
                <w:tab w:val="left" w:pos="5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μg/g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2131" w:type="dxa"/>
            <w:vMerge w:val="continue"/>
            <w:vAlign w:val="center"/>
          </w:tcPr>
          <w:p>
            <w:pPr>
              <w:tabs>
                <w:tab w:val="left" w:pos="5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30" w:type="dxa"/>
            <w:vAlign w:val="center"/>
          </w:tcPr>
          <w:p>
            <w:pPr>
              <w:tabs>
                <w:tab w:val="left" w:pos="5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GBW11160</w:t>
            </w:r>
          </w:p>
        </w:tc>
        <w:tc>
          <w:tcPr>
            <w:tcW w:w="2131" w:type="dxa"/>
            <w:vAlign w:val="center"/>
          </w:tcPr>
          <w:p>
            <w:pPr>
              <w:tabs>
                <w:tab w:val="left" w:pos="5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136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μg/g</w:t>
            </w:r>
          </w:p>
        </w:tc>
        <w:tc>
          <w:tcPr>
            <w:tcW w:w="2130" w:type="dxa"/>
            <w:vAlign w:val="center"/>
          </w:tcPr>
          <w:p>
            <w:pPr>
              <w:tabs>
                <w:tab w:val="left" w:pos="5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μg/g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2131" w:type="dxa"/>
            <w:vMerge w:val="restart"/>
            <w:vAlign w:val="center"/>
          </w:tcPr>
          <w:p>
            <w:pPr>
              <w:tabs>
                <w:tab w:val="left" w:pos="5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煤中氯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标准物质</w:t>
            </w:r>
          </w:p>
        </w:tc>
        <w:tc>
          <w:tcPr>
            <w:tcW w:w="2130" w:type="dxa"/>
            <w:vAlign w:val="center"/>
          </w:tcPr>
          <w:p>
            <w:pPr>
              <w:tabs>
                <w:tab w:val="left" w:pos="5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GBW11118</w:t>
            </w:r>
          </w:p>
        </w:tc>
        <w:tc>
          <w:tcPr>
            <w:tcW w:w="2131" w:type="dxa"/>
            <w:vAlign w:val="center"/>
          </w:tcPr>
          <w:p>
            <w:pPr>
              <w:tabs>
                <w:tab w:val="left" w:pos="5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0.011%</w:t>
            </w:r>
          </w:p>
        </w:tc>
        <w:tc>
          <w:tcPr>
            <w:tcW w:w="2130" w:type="dxa"/>
            <w:vAlign w:val="center"/>
          </w:tcPr>
          <w:p>
            <w:pPr>
              <w:tabs>
                <w:tab w:val="left" w:pos="5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0.002%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2131" w:type="dxa"/>
            <w:vMerge w:val="continue"/>
            <w:vAlign w:val="center"/>
          </w:tcPr>
          <w:p>
            <w:pPr>
              <w:tabs>
                <w:tab w:val="left" w:pos="5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30" w:type="dxa"/>
            <w:vAlign w:val="center"/>
          </w:tcPr>
          <w:p>
            <w:pPr>
              <w:tabs>
                <w:tab w:val="left" w:pos="5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GBW11119</w:t>
            </w:r>
          </w:p>
        </w:tc>
        <w:tc>
          <w:tcPr>
            <w:tcW w:w="2131" w:type="dxa"/>
            <w:vAlign w:val="center"/>
          </w:tcPr>
          <w:p>
            <w:pPr>
              <w:tabs>
                <w:tab w:val="left" w:pos="5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.057%</w:t>
            </w:r>
          </w:p>
        </w:tc>
        <w:tc>
          <w:tcPr>
            <w:tcW w:w="2130" w:type="dxa"/>
            <w:vAlign w:val="center"/>
          </w:tcPr>
          <w:p>
            <w:pPr>
              <w:tabs>
                <w:tab w:val="left" w:pos="5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0.003%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2131" w:type="dxa"/>
            <w:vMerge w:val="continue"/>
            <w:vAlign w:val="center"/>
          </w:tcPr>
          <w:p>
            <w:pPr>
              <w:tabs>
                <w:tab w:val="left" w:pos="5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30" w:type="dxa"/>
            <w:vAlign w:val="center"/>
          </w:tcPr>
          <w:p>
            <w:pPr>
              <w:tabs>
                <w:tab w:val="left" w:pos="5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GBW11120</w:t>
            </w:r>
          </w:p>
        </w:tc>
        <w:tc>
          <w:tcPr>
            <w:tcW w:w="2131" w:type="dxa"/>
            <w:vAlign w:val="center"/>
          </w:tcPr>
          <w:p>
            <w:pPr>
              <w:tabs>
                <w:tab w:val="left" w:pos="5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0.110%</w:t>
            </w:r>
          </w:p>
        </w:tc>
        <w:tc>
          <w:tcPr>
            <w:tcW w:w="2130" w:type="dxa"/>
            <w:vAlign w:val="center"/>
          </w:tcPr>
          <w:p>
            <w:pPr>
              <w:tabs>
                <w:tab w:val="left" w:pos="5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0.006%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2131" w:type="dxa"/>
            <w:vMerge w:val="continue"/>
            <w:vAlign w:val="center"/>
          </w:tcPr>
          <w:p>
            <w:pPr>
              <w:tabs>
                <w:tab w:val="left" w:pos="5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30" w:type="dxa"/>
            <w:vAlign w:val="center"/>
          </w:tcPr>
          <w:p>
            <w:pPr>
              <w:tabs>
                <w:tab w:val="left" w:pos="5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GBW11156</w:t>
            </w:r>
          </w:p>
        </w:tc>
        <w:tc>
          <w:tcPr>
            <w:tcW w:w="2131" w:type="dxa"/>
            <w:vAlign w:val="center"/>
          </w:tcPr>
          <w:p>
            <w:pPr>
              <w:tabs>
                <w:tab w:val="left" w:pos="5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0.036%</w:t>
            </w:r>
          </w:p>
          <w:p>
            <w:pPr>
              <w:tabs>
                <w:tab w:val="left" w:pos="5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130" w:type="dxa"/>
            <w:vAlign w:val="center"/>
          </w:tcPr>
          <w:p>
            <w:pPr>
              <w:tabs>
                <w:tab w:val="left" w:pos="5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0.003%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2131" w:type="dxa"/>
            <w:vMerge w:val="continue"/>
            <w:vAlign w:val="center"/>
          </w:tcPr>
          <w:p>
            <w:pPr>
              <w:tabs>
                <w:tab w:val="left" w:pos="5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30" w:type="dxa"/>
            <w:vAlign w:val="center"/>
          </w:tcPr>
          <w:p>
            <w:pPr>
              <w:tabs>
                <w:tab w:val="left" w:pos="5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GBW11157</w:t>
            </w:r>
          </w:p>
        </w:tc>
        <w:tc>
          <w:tcPr>
            <w:tcW w:w="2131" w:type="dxa"/>
            <w:vAlign w:val="center"/>
          </w:tcPr>
          <w:p>
            <w:pPr>
              <w:tabs>
                <w:tab w:val="left" w:pos="5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0.038%</w:t>
            </w:r>
          </w:p>
          <w:p>
            <w:pPr>
              <w:tabs>
                <w:tab w:val="left" w:pos="5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130" w:type="dxa"/>
            <w:vAlign w:val="center"/>
          </w:tcPr>
          <w:p>
            <w:pPr>
              <w:tabs>
                <w:tab w:val="left" w:pos="5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0.003%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2131" w:type="dxa"/>
            <w:vMerge w:val="continue"/>
            <w:vAlign w:val="center"/>
          </w:tcPr>
          <w:p>
            <w:pPr>
              <w:tabs>
                <w:tab w:val="left" w:pos="5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30" w:type="dxa"/>
            <w:vAlign w:val="center"/>
          </w:tcPr>
          <w:p>
            <w:pPr>
              <w:tabs>
                <w:tab w:val="left" w:pos="5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GBW11158</w:t>
            </w:r>
          </w:p>
        </w:tc>
        <w:tc>
          <w:tcPr>
            <w:tcW w:w="2131" w:type="dxa"/>
            <w:vAlign w:val="center"/>
          </w:tcPr>
          <w:p>
            <w:pPr>
              <w:tabs>
                <w:tab w:val="left" w:pos="5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0.028%</w:t>
            </w:r>
          </w:p>
          <w:p>
            <w:pPr>
              <w:tabs>
                <w:tab w:val="left" w:pos="5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130" w:type="dxa"/>
            <w:vAlign w:val="center"/>
          </w:tcPr>
          <w:p>
            <w:pPr>
              <w:tabs>
                <w:tab w:val="left" w:pos="5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0.003%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2131" w:type="dxa"/>
            <w:vMerge w:val="continue"/>
            <w:vAlign w:val="center"/>
          </w:tcPr>
          <w:p>
            <w:pPr>
              <w:tabs>
                <w:tab w:val="left" w:pos="5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130" w:type="dxa"/>
            <w:vAlign w:val="center"/>
          </w:tcPr>
          <w:p>
            <w:pPr>
              <w:tabs>
                <w:tab w:val="left" w:pos="5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GBW11160</w:t>
            </w:r>
          </w:p>
        </w:tc>
        <w:tc>
          <w:tcPr>
            <w:tcW w:w="2131" w:type="dxa"/>
            <w:vAlign w:val="center"/>
          </w:tcPr>
          <w:p>
            <w:pPr>
              <w:tabs>
                <w:tab w:val="left" w:pos="5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0.028%</w:t>
            </w:r>
          </w:p>
          <w:p>
            <w:pPr>
              <w:tabs>
                <w:tab w:val="left" w:pos="5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130" w:type="dxa"/>
            <w:vAlign w:val="center"/>
          </w:tcPr>
          <w:p>
            <w:pPr>
              <w:tabs>
                <w:tab w:val="left" w:pos="540"/>
              </w:tabs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0.003%</w:t>
            </w:r>
          </w:p>
        </w:tc>
      </w:tr>
    </w:tbl>
    <w:p/>
    <w:p>
      <w:pPr>
        <w:jc w:val="both"/>
        <w:rPr>
          <w:rFonts w:hint="eastAsia"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 xml:space="preserve">  </w:t>
      </w:r>
      <w:bookmarkStart w:id="42" w:name="_Toc16376_WPSOffice_Level2"/>
      <w:bookmarkStart w:id="43" w:name="_Toc3309_WPSOffice_Level2"/>
    </w:p>
    <w:p>
      <w:pPr>
        <w:jc w:val="center"/>
        <w:rPr>
          <w:rFonts w:hint="eastAsia" w:eastAsia="黑体"/>
          <w:sz w:val="28"/>
          <w:szCs w:val="28"/>
        </w:rPr>
      </w:pPr>
    </w:p>
    <w:p>
      <w:pPr>
        <w:jc w:val="center"/>
        <w:rPr>
          <w:rFonts w:hint="eastAsia" w:eastAsia="黑体"/>
          <w:sz w:val="28"/>
          <w:szCs w:val="28"/>
        </w:rPr>
      </w:pPr>
    </w:p>
    <w:p>
      <w:pPr>
        <w:jc w:val="center"/>
        <w:rPr>
          <w:rFonts w:hint="eastAsia" w:eastAsia="黑体"/>
          <w:sz w:val="28"/>
          <w:szCs w:val="28"/>
        </w:rPr>
      </w:pPr>
    </w:p>
    <w:p>
      <w:pPr>
        <w:jc w:val="center"/>
        <w:rPr>
          <w:rFonts w:hint="eastAsia"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br w:type="page"/>
      </w:r>
    </w:p>
    <w:p>
      <w:pPr>
        <w:jc w:val="center"/>
        <w:rPr>
          <w:rFonts w:hint="eastAsia" w:eastAsia="黑体"/>
          <w:sz w:val="28"/>
          <w:szCs w:val="28"/>
        </w:rPr>
      </w:pPr>
    </w:p>
    <w:p>
      <w:pPr>
        <w:pStyle w:val="2"/>
        <w:spacing w:before="0" w:after="0" w:line="240" w:lineRule="auto"/>
        <w:rPr>
          <w:rFonts w:hint="eastAsia" w:eastAsia="黑体"/>
          <w:sz w:val="28"/>
          <w:szCs w:val="28"/>
        </w:rPr>
      </w:pPr>
      <w:r>
        <w:rPr>
          <w:rFonts w:hint="eastAsia" w:ascii="黑体" w:eastAsia="黑体"/>
          <w:b w:val="0"/>
          <w:sz w:val="28"/>
          <w:szCs w:val="28"/>
        </w:rPr>
        <w:t>附录</w:t>
      </w:r>
      <w:r>
        <w:rPr>
          <w:rFonts w:hint="eastAsia" w:ascii="黑体" w:eastAsia="黑体"/>
          <w:b w:val="0"/>
          <w:sz w:val="28"/>
          <w:szCs w:val="28"/>
          <w:lang w:val="en-US" w:eastAsia="zh-CN"/>
        </w:rPr>
        <w:t>D</w:t>
      </w:r>
    </w:p>
    <w:p>
      <w:pPr>
        <w:jc w:val="center"/>
        <w:rPr>
          <w:rFonts w:hint="eastAsia" w:ascii="黑体" w:eastAsia="黑体" w:cs="宋体"/>
          <w:sz w:val="28"/>
          <w:szCs w:val="28"/>
          <w:lang w:val="zh-CN"/>
        </w:rPr>
      </w:pPr>
      <w:r>
        <w:rPr>
          <w:rFonts w:hint="eastAsia" w:ascii="黑体" w:eastAsia="黑体" w:cs="宋体"/>
          <w:sz w:val="28"/>
          <w:szCs w:val="28"/>
          <w:lang w:val="zh-CN"/>
        </w:rPr>
        <w:t>煤中氟</w:t>
      </w:r>
      <w:r>
        <w:rPr>
          <w:rFonts w:hint="eastAsia" w:ascii="黑体" w:eastAsia="黑体" w:cs="宋体"/>
          <w:sz w:val="28"/>
          <w:szCs w:val="28"/>
          <w:lang w:val="zh-CN" w:eastAsia="zh-CN"/>
        </w:rPr>
        <w:t>测定仪示值误差</w:t>
      </w:r>
      <w:r>
        <w:rPr>
          <w:rFonts w:hint="eastAsia" w:ascii="黑体" w:eastAsia="黑体" w:cs="宋体"/>
          <w:sz w:val="28"/>
          <w:szCs w:val="28"/>
          <w:lang w:val="zh-CN"/>
        </w:rPr>
        <w:t>的不确定度</w:t>
      </w:r>
      <w:bookmarkEnd w:id="42"/>
      <w:bookmarkEnd w:id="43"/>
      <w:r>
        <w:rPr>
          <w:rFonts w:hint="eastAsia" w:ascii="黑体" w:eastAsia="黑体" w:cs="宋体"/>
          <w:sz w:val="28"/>
          <w:szCs w:val="28"/>
          <w:lang w:val="zh-CN" w:eastAsia="zh-CN"/>
        </w:rPr>
        <w:t>评定</w:t>
      </w:r>
      <w:r>
        <w:rPr>
          <w:rFonts w:hint="eastAsia" w:ascii="黑体" w:eastAsia="黑体" w:cs="宋体"/>
          <w:sz w:val="28"/>
          <w:szCs w:val="28"/>
          <w:lang w:val="zh-CN"/>
        </w:rPr>
        <w:t>示例</w:t>
      </w:r>
    </w:p>
    <w:p>
      <w:pPr>
        <w:spacing w:line="348" w:lineRule="auto"/>
        <w:rPr>
          <w:rFonts w:hint="eastAsia" w:ascii="黑体" w:hAnsi="黑体" w:eastAsia="黑体" w:cs="黑体"/>
          <w:sz w:val="24"/>
        </w:rPr>
      </w:pPr>
      <w:bookmarkStart w:id="44" w:name="_Toc29469_WPSOffice_Level2"/>
      <w:bookmarkStart w:id="45" w:name="_Toc11142_WPSOffice_Level2"/>
      <w:r>
        <w:rPr>
          <w:rFonts w:hint="eastAsia" w:ascii="黑体" w:hAnsi="黑体" w:eastAsia="黑体" w:cs="黑体"/>
          <w:sz w:val="24"/>
        </w:rPr>
        <w:t>D.1 测量方法</w:t>
      </w:r>
    </w:p>
    <w:p>
      <w:pPr>
        <w:spacing w:line="348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将</w:t>
      </w:r>
      <w:r>
        <w:rPr>
          <w:rFonts w:hint="eastAsia" w:ascii="宋体" w:hAnsi="宋体"/>
          <w:sz w:val="24"/>
          <w:lang w:eastAsia="zh-CN"/>
        </w:rPr>
        <w:t>煤中氟成分</w:t>
      </w:r>
      <w:r>
        <w:rPr>
          <w:rFonts w:hint="eastAsia" w:ascii="宋体" w:hAnsi="宋体"/>
          <w:sz w:val="24"/>
        </w:rPr>
        <w:t>标准物质的</w:t>
      </w:r>
      <w:r>
        <w:rPr>
          <w:rFonts w:hint="eastAsia" w:ascii="宋体" w:hAnsi="宋体"/>
          <w:sz w:val="24"/>
          <w:lang w:eastAsia="zh-CN"/>
        </w:rPr>
        <w:t>两</w:t>
      </w:r>
      <w:r>
        <w:rPr>
          <w:rFonts w:hint="eastAsia" w:ascii="宋体" w:hAnsi="宋体"/>
          <w:sz w:val="24"/>
        </w:rPr>
        <w:t>次测量结果的算数平均值，与标准物质的的标准值进行比较，以两者之差作为</w:t>
      </w:r>
      <w:r>
        <w:rPr>
          <w:rFonts w:hint="eastAsia" w:ascii="宋体" w:hAnsi="宋体"/>
          <w:sz w:val="24"/>
          <w:lang w:eastAsia="zh-CN"/>
        </w:rPr>
        <w:t>煤中氟</w:t>
      </w:r>
      <w:r>
        <w:rPr>
          <w:rFonts w:hint="eastAsia" w:ascii="宋体" w:hAnsi="宋体"/>
          <w:sz w:val="24"/>
        </w:rPr>
        <w:t>测定仪的示值误差</w:t>
      </w:r>
      <w:r>
        <w:rPr>
          <w:rFonts w:hint="eastAsia"/>
          <w:sz w:val="24"/>
        </w:rPr>
        <w:t>。</w:t>
      </w:r>
    </w:p>
    <w:p>
      <w:pPr>
        <w:spacing w:line="348" w:lineRule="auto"/>
        <w:rPr>
          <w:rFonts w:hint="eastAsia"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</w:rPr>
        <w:t>D.2 数学模型</w:t>
      </w:r>
    </w:p>
    <w:p>
      <w:pPr>
        <w:spacing w:line="348" w:lineRule="auto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示值误差公式：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color w:val="auto"/>
          <w:spacing w:val="0"/>
          <w:kern w:val="2"/>
          <w:position w:val="-12"/>
          <w:sz w:val="24"/>
          <w:szCs w:val="24"/>
        </w:rPr>
        <w:object>
          <v:shape id="_x0000_i1034" o:spt="75" type="#_x0000_t75" style="height:19pt;width:59.8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44">
            <o:LockedField>false</o:LockedField>
          </o:OLEObject>
        </w:object>
      </w:r>
      <w:r>
        <w:rPr>
          <w:rFonts w:hint="eastAsia" w:ascii="宋体" w:hAnsi="宋体" w:cs="宋体"/>
          <w:color w:val="auto"/>
          <w:spacing w:val="0"/>
          <w:kern w:val="2"/>
          <w:position w:val="-12"/>
          <w:sz w:val="24"/>
          <w:szCs w:val="24"/>
          <w:lang w:val="en-US" w:eastAsia="zh-CN"/>
        </w:rPr>
        <w:t xml:space="preserve">  </w:t>
      </w:r>
      <w:r>
        <w:rPr>
          <w:rFonts w:hint="eastAsia" w:eastAsia="黑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D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autoSpaceDE w:val="0"/>
        <w:autoSpaceDN w:val="0"/>
        <w:adjustRightInd w:val="0"/>
        <w:spacing w:line="348" w:lineRule="auto"/>
        <w:ind w:firstLine="480" w:firstLineChars="200"/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式中：</w:t>
      </w:r>
    </w:p>
    <w:p>
      <w:pPr>
        <w:pStyle w:val="40"/>
        <w:snapToGrid/>
        <w:spacing w:line="360" w:lineRule="auto"/>
        <w:ind w:firstLine="480"/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</w:rPr>
        <w:object>
          <v:shape id="_x0000_i1035" o:spt="75" type="#_x0000_t75" style="height:12pt;width:19.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46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</w:rPr>
        <w:t>-----示值误差，μg/g；</w:t>
      </w:r>
    </w:p>
    <w:p>
      <w:pPr>
        <w:pStyle w:val="40"/>
        <w:snapToGrid/>
        <w:spacing w:line="360" w:lineRule="auto"/>
        <w:ind w:firstLine="480"/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</w:rPr>
        <w:object>
          <v:shape id="_x0000_i1036" o:spt="75" type="#_x0000_t75" style="height:15pt;width:12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47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</w:rPr>
        <w:t>-------</w:t>
      </w:r>
      <w:r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  <w:lang w:eastAsia="zh-CN"/>
        </w:rPr>
        <w:t>两次</w:t>
      </w:r>
      <w:r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</w:rPr>
        <w:t>测</w:t>
      </w:r>
      <w:r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  <w:lang w:eastAsia="zh-CN"/>
        </w:rPr>
        <w:t>定</w:t>
      </w:r>
      <w:r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</w:rPr>
        <w:t>干基</w:t>
      </w:r>
      <w:r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  <w:lang w:eastAsia="zh-CN"/>
        </w:rPr>
        <w:t>氟含量的</w:t>
      </w:r>
      <w:r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</w:rPr>
        <w:t>平均值，μg/g；</w:t>
      </w:r>
    </w:p>
    <w:p>
      <w:pPr>
        <w:autoSpaceDE w:val="0"/>
        <w:autoSpaceDN w:val="0"/>
        <w:adjustRightInd w:val="0"/>
        <w:spacing w:line="348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2"/>
          <w:position w:val="-12"/>
          <w:sz w:val="24"/>
          <w:szCs w:val="24"/>
          <w:lang w:val="en-US" w:eastAsia="zh-CN" w:bidi="ar-SA"/>
        </w:rPr>
        <w:object>
          <v:shape id="_x0000_i1037" o:spt="75" type="#_x0000_t75" style="height:16.65pt;width:13.35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48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  <w:lang w:val="en-US" w:eastAsia="zh-CN" w:bidi="ar-SA"/>
        </w:rPr>
        <w:t>-------标准值，μg/g。</w:t>
      </w:r>
    </w:p>
    <w:p>
      <w:pPr>
        <w:spacing w:line="348" w:lineRule="auto"/>
        <w:rPr>
          <w:rFonts w:hint="eastAsia"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</w:rPr>
        <w:t>D.3 方差和灵敏系数</w:t>
      </w:r>
    </w:p>
    <w:p>
      <w:pPr>
        <w:spacing w:line="348" w:lineRule="auto"/>
        <w:ind w:firstLine="420" w:firstLineChars="200"/>
        <w:rPr>
          <w:rFonts w:hint="eastAsia" w:ascii="宋体" w:hAnsi="宋体" w:eastAsia="宋体"/>
          <w:sz w:val="21"/>
          <w:szCs w:val="21"/>
          <w:lang w:eastAsia="zh-CN"/>
        </w:rPr>
      </w:pPr>
      <w:r>
        <w:rPr>
          <w:rFonts w:hint="eastAsia" w:ascii="宋体" w:hAnsi="宋体"/>
          <w:sz w:val="21"/>
          <w:szCs w:val="21"/>
        </w:rPr>
        <w:t>因为</w:t>
      </w:r>
      <w:r>
        <w:rPr>
          <w:rFonts w:ascii="宋体" w:hAnsi="宋体"/>
          <w:position w:val="-32"/>
          <w:sz w:val="21"/>
          <w:szCs w:val="21"/>
        </w:rPr>
        <w:object>
          <v:shape id="_x0000_i1038" o:spt="75" type="#_x0000_t75" style="height:40.75pt;width:120.2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50">
            <o:LockedField>false</o:LockedField>
          </o:OLEObject>
        </w:object>
      </w:r>
      <w:r>
        <w:rPr>
          <w:rFonts w:hint="eastAsia" w:ascii="宋体" w:hAnsi="宋体"/>
          <w:sz w:val="21"/>
          <w:szCs w:val="21"/>
        </w:rPr>
        <w:t>，可知</w:t>
      </w:r>
      <w:r>
        <w:rPr>
          <w:rFonts w:hint="eastAsia" w:ascii="宋体" w:hAnsi="宋体"/>
          <w:sz w:val="21"/>
          <w:szCs w:val="21"/>
          <w:lang w:eastAsia="zh-CN"/>
        </w:rPr>
        <w:t>：</w:t>
      </w:r>
    </w:p>
    <w:p>
      <w:pPr>
        <w:spacing w:line="348" w:lineRule="auto"/>
        <w:ind w:firstLine="420" w:firstLineChars="200"/>
        <w:jc w:val="center"/>
        <w:rPr>
          <w:rFonts w:hint="eastAsia" w:ascii="宋体" w:hAnsi="宋体" w:eastAsia="宋体"/>
          <w:sz w:val="21"/>
          <w:szCs w:val="21"/>
          <w:lang w:val="en-US" w:eastAsia="zh-CN"/>
        </w:rPr>
      </w:pPr>
      <w:r>
        <w:rPr>
          <w:rFonts w:hint="eastAsia" w:ascii="宋体" w:hAnsi="宋体"/>
          <w:position w:val="-18"/>
          <w:sz w:val="21"/>
          <w:szCs w:val="21"/>
          <w:lang w:val="en-US" w:eastAsia="zh-CN"/>
        </w:rPr>
        <w:t xml:space="preserve">                      </w:t>
      </w:r>
      <w:r>
        <w:rPr>
          <w:rFonts w:ascii="宋体" w:hAnsi="宋体"/>
          <w:position w:val="-18"/>
          <w:sz w:val="21"/>
          <w:szCs w:val="21"/>
        </w:rPr>
        <w:object>
          <v:shape id="_x0000_i1039" o:spt="75" type="#_x0000_t75" style="height:23.1pt;width:212.1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52">
            <o:LockedField>false</o:LockedField>
          </o:OLEObject>
        </w:object>
      </w:r>
      <w:r>
        <w:rPr>
          <w:rFonts w:hint="eastAsia" w:ascii="宋体" w:hAnsi="宋体"/>
          <w:position w:val="-18"/>
          <w:sz w:val="21"/>
          <w:szCs w:val="21"/>
          <w:lang w:val="en-US" w:eastAsia="zh-CN"/>
        </w:rPr>
        <w:t xml:space="preserve">      </w:t>
      </w:r>
      <w:r>
        <w:rPr>
          <w:rFonts w:hint="eastAsia" w:eastAsia="黑体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 xml:space="preserve">  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D2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eastAsia="黑体"/>
          <w:sz w:val="28"/>
          <w:szCs w:val="28"/>
        </w:rPr>
        <w:t xml:space="preserve">  </w:t>
      </w:r>
    </w:p>
    <w:p>
      <w:pPr>
        <w:spacing w:line="348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式中：</w:t>
      </w:r>
      <w:r>
        <w:rPr>
          <w:rFonts w:ascii="宋体" w:hAnsi="宋体"/>
          <w:position w:val="-26"/>
          <w:sz w:val="21"/>
          <w:szCs w:val="21"/>
        </w:rPr>
        <w:object>
          <v:shape id="_x0000_i1040" o:spt="75" type="#_x0000_t75" style="height:31.25pt;width:81.85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54">
            <o:LockedField>false</o:LockedField>
          </o:OLEObject>
        </w:object>
      </w:r>
    </w:p>
    <w:p>
      <w:pPr>
        <w:spacing w:line="348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ascii="宋体" w:hAnsi="宋体"/>
          <w:position w:val="-30"/>
          <w:sz w:val="21"/>
          <w:szCs w:val="21"/>
        </w:rPr>
        <w:object>
          <v:shape id="_x0000_i1041" o:spt="75" type="#_x0000_t75" style="height:34.65pt;width:94.8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56">
            <o:LockedField>false</o:LockedField>
          </o:OLEObject>
        </w:object>
      </w:r>
    </w:p>
    <w:p>
      <w:pPr>
        <w:spacing w:line="348" w:lineRule="auto"/>
        <w:ind w:firstLine="420" w:firstLineChars="200"/>
        <w:rPr>
          <w:rFonts w:ascii="宋体" w:hAnsi="宋体"/>
          <w:sz w:val="21"/>
          <w:szCs w:val="21"/>
        </w:rPr>
      </w:pPr>
      <w:r>
        <w:rPr>
          <w:rFonts w:hint="eastAsia" w:ascii="宋体" w:hAnsi="宋体"/>
          <w:sz w:val="21"/>
          <w:szCs w:val="21"/>
        </w:rPr>
        <w:t>则</w:t>
      </w:r>
      <w:r>
        <w:rPr>
          <w:rFonts w:hint="eastAsia" w:ascii="宋体" w:hAnsi="宋体"/>
          <w:position w:val="-18"/>
          <w:sz w:val="21"/>
          <w:szCs w:val="21"/>
        </w:rPr>
        <w:object>
          <v:shape id="_x0000_i1042" o:spt="75" type="#_x0000_t75" style="height:24.5pt;width:100.1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58">
            <o:LockedField>false</o:LockedField>
          </o:OLEObject>
        </w:object>
      </w:r>
    </w:p>
    <w:bookmarkEnd w:id="44"/>
    <w:bookmarkEnd w:id="45"/>
    <w:p>
      <w:pPr>
        <w:spacing w:line="348" w:lineRule="auto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D.4 不确定度来源分析</w:t>
      </w:r>
    </w:p>
    <w:p>
      <w:pPr>
        <w:jc w:val="center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1"/>
          <w:szCs w:val="21"/>
        </w:rPr>
        <w:t>表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D</w:t>
      </w:r>
      <w:r>
        <w:rPr>
          <w:rFonts w:hint="eastAsia" w:ascii="黑体" w:hAnsi="黑体" w:eastAsia="黑体" w:cs="黑体"/>
          <w:sz w:val="21"/>
          <w:szCs w:val="21"/>
        </w:rPr>
        <w:t>1不确定度来源分析</w:t>
      </w:r>
    </w:p>
    <w:tbl>
      <w:tblPr>
        <w:tblStyle w:val="28"/>
        <w:tblW w:w="827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2419"/>
        <w:gridCol w:w="3021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5" w:type="dxa"/>
            <w:vAlign w:val="center"/>
          </w:tcPr>
          <w:p>
            <w:pPr>
              <w:spacing w:line="34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序号</w:t>
            </w:r>
          </w:p>
        </w:tc>
        <w:tc>
          <w:tcPr>
            <w:tcW w:w="2419" w:type="dxa"/>
            <w:vAlign w:val="center"/>
          </w:tcPr>
          <w:p>
            <w:pPr>
              <w:spacing w:line="34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不确定度来源</w:t>
            </w:r>
          </w:p>
        </w:tc>
        <w:tc>
          <w:tcPr>
            <w:tcW w:w="3021" w:type="dxa"/>
            <w:vAlign w:val="center"/>
          </w:tcPr>
          <w:p>
            <w:pPr>
              <w:spacing w:line="34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分量描述</w:t>
            </w:r>
          </w:p>
        </w:tc>
        <w:tc>
          <w:tcPr>
            <w:tcW w:w="2025" w:type="dxa"/>
            <w:vAlign w:val="center"/>
          </w:tcPr>
          <w:p>
            <w:pPr>
              <w:spacing w:line="34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标准不确定度符号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5" w:type="dxa"/>
            <w:vAlign w:val="center"/>
          </w:tcPr>
          <w:p>
            <w:pPr>
              <w:spacing w:line="34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2419" w:type="dxa"/>
            <w:vAlign w:val="center"/>
          </w:tcPr>
          <w:p>
            <w:pPr>
              <w:spacing w:line="34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标准值不确定度</w:t>
            </w:r>
          </w:p>
        </w:tc>
        <w:tc>
          <w:tcPr>
            <w:tcW w:w="3021" w:type="dxa"/>
            <w:vAlign w:val="center"/>
          </w:tcPr>
          <w:p>
            <w:pPr>
              <w:spacing w:line="34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标准物质引入的分量</w:t>
            </w:r>
          </w:p>
        </w:tc>
        <w:tc>
          <w:tcPr>
            <w:tcW w:w="2025" w:type="dxa"/>
            <w:vAlign w:val="center"/>
          </w:tcPr>
          <w:p>
            <w:pPr>
              <w:spacing w:line="34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position w:val="-12"/>
                <w:sz w:val="21"/>
                <w:szCs w:val="21"/>
              </w:rPr>
              <w:object>
                <v:shape id="_x0000_i1043" o:spt="75" type="#_x0000_t75" style="height:19pt;width:12.9pt;" o:ole="t" filled="f" o:preferrelative="t" stroked="f" coordsize="21600,21600">
                  <v:path/>
                  <v:fill on="f" focussize="0,0"/>
                  <v:stroke on="f" joinstyle="miter"/>
                  <v:imagedata r:id="rId61" o:title=""/>
                  <o:lock v:ext="edit" aspectratio="t"/>
                  <w10:wrap type="none"/>
                  <w10:anchorlock/>
                </v:shape>
                <o:OLEObject Type="Embed" ProgID="Equation.DSMT4" ShapeID="_x0000_i1043" DrawAspect="Content" ObjectID="_1468075743" r:id="rId60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805" w:type="dxa"/>
            <w:vMerge w:val="restart"/>
            <w:vAlign w:val="center"/>
          </w:tcPr>
          <w:p>
            <w:pPr>
              <w:spacing w:line="34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2419" w:type="dxa"/>
            <w:vMerge w:val="restart"/>
            <w:vAlign w:val="center"/>
          </w:tcPr>
          <w:p>
            <w:pPr>
              <w:spacing w:line="34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仪器示值不确定度</w:t>
            </w:r>
          </w:p>
        </w:tc>
        <w:tc>
          <w:tcPr>
            <w:tcW w:w="3021" w:type="dxa"/>
            <w:vAlign w:val="center"/>
          </w:tcPr>
          <w:p>
            <w:pPr>
              <w:spacing w:line="34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示值重复性引入的分量</w:t>
            </w:r>
          </w:p>
        </w:tc>
        <w:tc>
          <w:tcPr>
            <w:tcW w:w="2025" w:type="dxa"/>
            <w:vAlign w:val="center"/>
          </w:tcPr>
          <w:p>
            <w:pPr>
              <w:spacing w:line="34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position w:val="-12"/>
                <w:sz w:val="21"/>
                <w:szCs w:val="21"/>
              </w:rPr>
              <w:object>
                <v:shape id="_x0000_i1044" o:spt="75" type="#_x0000_t75" style="height:19pt;width:12.9pt;" o:ole="t" filled="f" o:preferrelative="t" stroked="f" coordsize="21600,21600">
                  <v:path/>
                  <v:fill on="f" focussize="0,0"/>
                  <v:stroke on="f" joinstyle="miter"/>
                  <v:imagedata r:id="rId63" o:title=""/>
                  <o:lock v:ext="edit" aspectratio="t"/>
                  <w10:wrap type="none"/>
                  <w10:anchorlock/>
                </v:shape>
                <o:OLEObject Type="Embed" ProgID="Equation.DSMT4" ShapeID="_x0000_i1044" DrawAspect="Content" ObjectID="_1468075744" r:id="rId62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34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419" w:type="dxa"/>
            <w:vMerge w:val="continue"/>
            <w:vAlign w:val="center"/>
          </w:tcPr>
          <w:p>
            <w:pPr>
              <w:spacing w:line="34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3021" w:type="dxa"/>
            <w:vAlign w:val="center"/>
          </w:tcPr>
          <w:p>
            <w:pPr>
              <w:spacing w:line="34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天平称量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引入的分量</w:t>
            </w:r>
          </w:p>
        </w:tc>
        <w:tc>
          <w:tcPr>
            <w:tcW w:w="2025" w:type="dxa"/>
            <w:vAlign w:val="center"/>
          </w:tcPr>
          <w:p>
            <w:pPr>
              <w:spacing w:line="348" w:lineRule="auto"/>
              <w:jc w:val="center"/>
              <w:rPr>
                <w:rFonts w:hint="eastAsia" w:ascii="宋体" w:hAnsi="宋体" w:eastAsia="宋体" w:cs="宋体"/>
                <w:position w:val="-1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position w:val="-10"/>
                <w:sz w:val="21"/>
                <w:szCs w:val="21"/>
              </w:rPr>
              <w:object>
                <v:shape id="_x0000_i1045" o:spt="75" type="#_x0000_t75" style="height:17.65pt;width:12.9pt;" o:ole="t" filled="f" o:preferrelative="t" stroked="f" coordsize="21600,21600">
                  <v:path/>
                  <v:fill on="f" focussize="0,0"/>
                  <v:stroke on="f" joinstyle="miter"/>
                  <v:imagedata r:id="rId65" o:title=""/>
                  <o:lock v:ext="edit" aspectratio="t"/>
                  <w10:wrap type="none"/>
                  <w10:anchorlock/>
                </v:shape>
                <o:OLEObject Type="Embed" ProgID="Equation.3" ShapeID="_x0000_i1045" DrawAspect="Content" ObjectID="_1468075745" r:id="rId64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05" w:type="dxa"/>
            <w:vAlign w:val="center"/>
          </w:tcPr>
          <w:p>
            <w:pPr>
              <w:spacing w:line="34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419" w:type="dxa"/>
            <w:vAlign w:val="center"/>
          </w:tcPr>
          <w:p>
            <w:pPr>
              <w:spacing w:line="34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干基换算不确定度</w:t>
            </w:r>
          </w:p>
        </w:tc>
        <w:tc>
          <w:tcPr>
            <w:tcW w:w="3021" w:type="dxa"/>
            <w:vAlign w:val="center"/>
          </w:tcPr>
          <w:p>
            <w:pPr>
              <w:spacing w:line="348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标准物质水分测定引入的分量</w:t>
            </w:r>
          </w:p>
        </w:tc>
        <w:tc>
          <w:tcPr>
            <w:tcW w:w="2025" w:type="dxa"/>
            <w:vAlign w:val="center"/>
          </w:tcPr>
          <w:p>
            <w:pPr>
              <w:spacing w:line="348" w:lineRule="auto"/>
              <w:jc w:val="center"/>
              <w:rPr>
                <w:rFonts w:hint="eastAsia" w:ascii="宋体" w:hAnsi="宋体" w:eastAsia="宋体" w:cs="宋体"/>
                <w:position w:val="-1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position w:val="-12"/>
                <w:sz w:val="21"/>
                <w:szCs w:val="21"/>
              </w:rPr>
              <w:object>
                <v:shape id="_x0000_i1046" o:spt="75" type="#_x0000_t75" style="height:17.65pt;width:12.9pt;" o:ole="t" filled="f" o:preferrelative="t" stroked="f" coordsize="21600,21600">
                  <v:path/>
                  <v:fill on="f" focussize="0,0"/>
                  <v:stroke on="f"/>
                  <v:imagedata r:id="rId67" o:title=""/>
                  <o:lock v:ext="edit" aspectratio="t"/>
                  <w10:wrap type="none"/>
                  <w10:anchorlock/>
                </v:shape>
                <o:OLEObject Type="Embed" ProgID="Equation.3" ShapeID="_x0000_i1046" DrawAspect="Content" ObjectID="_1468075746" r:id="rId66">
                  <o:LockedField>false</o:LockedField>
                </o:OLEObject>
              </w:object>
            </w:r>
          </w:p>
        </w:tc>
      </w:tr>
    </w:tbl>
    <w:p>
      <w:pPr>
        <w:spacing w:line="348" w:lineRule="auto"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/>
          <w:sz w:val="24"/>
        </w:rPr>
        <w:t>D.</w:t>
      </w:r>
      <w:r>
        <w:rPr>
          <w:rFonts w:hint="eastAsia" w:ascii="宋体" w:hAnsi="宋体"/>
          <w:sz w:val="24"/>
          <w:lang w:val="en-US" w:eastAsia="zh-CN"/>
        </w:rPr>
        <w:t>4</w:t>
      </w:r>
      <w:r>
        <w:rPr>
          <w:rFonts w:hint="eastAsia" w:ascii="宋体" w:hAnsi="宋体"/>
          <w:sz w:val="24"/>
        </w:rPr>
        <w:t>.1标准物质引入的不确定度分量</w:t>
      </w:r>
      <w:r>
        <w:rPr>
          <w:rFonts w:hint="eastAsia" w:ascii="宋体" w:hAnsi="宋体"/>
          <w:position w:val="-10"/>
          <w:sz w:val="24"/>
        </w:rPr>
        <w:object>
          <v:shape id="_x0000_i1047" o:spt="75" type="#_x0000_t75" style="height:17pt;width:12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68">
            <o:LockedField>false</o:LockedField>
          </o:OLEObject>
        </w:object>
      </w:r>
    </w:p>
    <w:p>
      <w:pPr>
        <w:spacing w:line="348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标准物质证书上可查到标准值的不确定度，以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煤中氟成分</w:t>
      </w:r>
      <w:r>
        <w:rPr>
          <w:rFonts w:hint="eastAsia" w:ascii="宋体" w:hAnsi="宋体" w:eastAsia="宋体" w:cs="宋体"/>
          <w:sz w:val="24"/>
          <w:szCs w:val="24"/>
        </w:rPr>
        <w:t>标准物质GBW1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1122</w:t>
      </w:r>
      <w:r>
        <w:rPr>
          <w:rFonts w:hint="eastAsia" w:ascii="宋体" w:hAnsi="宋体" w:eastAsia="宋体" w:cs="宋体"/>
          <w:sz w:val="24"/>
          <w:szCs w:val="24"/>
        </w:rPr>
        <w:t>为例（</w:t>
      </w:r>
      <w:r>
        <w:rPr>
          <w:rFonts w:hint="eastAsia" w:ascii="宋体" w:hAnsi="宋体" w:eastAsia="宋体" w:cs="宋体"/>
          <w:i/>
          <w:iCs/>
          <w:sz w:val="24"/>
          <w:szCs w:val="24"/>
        </w:rPr>
        <w:t>U</w:t>
      </w:r>
      <w:r>
        <w:rPr>
          <w:rFonts w:hint="eastAsia" w:ascii="宋体" w:hAnsi="宋体" w:eastAsia="宋体" w:cs="宋体"/>
          <w:sz w:val="24"/>
          <w:szCs w:val="24"/>
        </w:rPr>
        <w:t>=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</w:t>
      </w:r>
      <w:r>
        <w:rPr>
          <w:rFonts w:hint="eastAsia" w:ascii="宋体" w:hAnsi="宋体" w:eastAsia="宋体" w:cs="宋体"/>
          <w:sz w:val="24"/>
          <w:szCs w:val="24"/>
        </w:rPr>
        <w:t>μg/g，</w:t>
      </w:r>
      <w:r>
        <w:rPr>
          <w:rFonts w:hint="eastAsia" w:ascii="宋体" w:hAnsi="宋体" w:eastAsia="宋体" w:cs="宋体"/>
          <w:i/>
          <w:sz w:val="24"/>
          <w:szCs w:val="24"/>
        </w:rPr>
        <w:t>k</w:t>
      </w:r>
      <w:r>
        <w:rPr>
          <w:rFonts w:hint="eastAsia" w:ascii="宋体" w:hAnsi="宋体" w:eastAsia="宋体" w:cs="宋体"/>
          <w:sz w:val="24"/>
          <w:szCs w:val="24"/>
        </w:rPr>
        <w:t>=2），则</w:t>
      </w:r>
    </w:p>
    <w:p>
      <w:pPr>
        <w:tabs>
          <w:tab w:val="center" w:pos="4320"/>
        </w:tabs>
        <w:spacing w:line="440" w:lineRule="exact"/>
        <w:ind w:firstLine="2940" w:firstLineChars="1400"/>
        <w:rPr>
          <w:rFonts w:hint="eastAsia" w:ascii="宋体" w:hAnsi="宋体"/>
          <w:sz w:val="24"/>
        </w:rPr>
      </w:pPr>
      <w:r>
        <w:rPr>
          <w:rFonts w:hint="eastAsia" w:ascii="宋体" w:hAnsi="宋体"/>
          <w:position w:val="-18"/>
          <w:sz w:val="21"/>
          <w:szCs w:val="21"/>
          <w:lang w:val="en-US" w:eastAsia="zh-CN"/>
        </w:rPr>
        <w:t xml:space="preserve">     </w:t>
      </w:r>
      <w:r>
        <w:rPr>
          <w:rFonts w:hint="eastAsia" w:eastAsia="黑体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 xml:space="preserve"> 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D3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eastAsia="黑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position w:val="-24"/>
          <w:sz w:val="24"/>
          <w:szCs w:val="24"/>
        </w:rPr>
        <w:pict>
          <v:shape id="_x0000_s1103" o:spid="_x0000_s1103" o:spt="75" type="#_x0000_t75" style="position:absolute;left:0pt;margin-left:84pt;margin-top:-1.65pt;height:31.25pt;width:114.85pt;mso-wrap-distance-left:9pt;mso-wrap-distance-right:9pt;z-index:-251657216;mso-width-relative:page;mso-height-relative:page;" o:ole="t" filled="f" o:preferrelative="t" stroked="f" coordsize="21600,21600" wrapcoords="21592 -2 0 0 0 21600 21592 21602 8 21602 21600 21600 21600 0 8 -2 21592 -2">
            <v:path/>
            <v:fill on="f" focussize="0,0"/>
            <v:stroke on="f"/>
            <v:imagedata r:id="rId71" o:title=""/>
            <o:lock v:ext="edit" aspectratio="t"/>
            <w10:wrap type="tight"/>
          </v:shape>
          <o:OLEObject Type="Embed" ProgID="Equation.3" ShapeID="_x0000_s1103" DrawAspect="Content" ObjectID="_1468075748" r:id="rId70">
            <o:LockedField>false</o:LockedField>
          </o:OLEObject>
        </w:pict>
      </w:r>
      <w:r>
        <w:rPr>
          <w:rFonts w:hint="eastAsia" w:ascii="宋体" w:hAnsi="宋体" w:cs="宋体"/>
          <w:sz w:val="24"/>
          <w:szCs w:val="24"/>
          <w:lang w:eastAsia="zh-CN"/>
        </w:rPr>
        <w:tab/>
      </w:r>
      <w:r>
        <w:rPr>
          <w:rFonts w:hint="eastAsia" w:ascii="宋体" w:hAnsi="宋体" w:cs="宋体"/>
          <w:sz w:val="24"/>
          <w:szCs w:val="24"/>
          <w:lang w:val="en-US" w:eastAsia="zh-CN"/>
        </w:rPr>
        <w:t>(1)</w:t>
      </w:r>
    </w:p>
    <w:p>
      <w:pPr>
        <w:spacing w:line="348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D.</w:t>
      </w:r>
      <w:r>
        <w:rPr>
          <w:rFonts w:hint="eastAsia" w:ascii="宋体" w:hAnsi="宋体"/>
          <w:sz w:val="24"/>
          <w:lang w:val="en-US" w:eastAsia="zh-CN"/>
        </w:rPr>
        <w:t>4</w:t>
      </w:r>
      <w:r>
        <w:rPr>
          <w:rFonts w:hint="eastAsia" w:ascii="宋体" w:hAnsi="宋体"/>
          <w:sz w:val="24"/>
        </w:rPr>
        <w:t>.2 示值重复性引入的不确定度分量</w:t>
      </w:r>
      <w:r>
        <w:rPr>
          <w:rFonts w:hint="eastAsia" w:ascii="宋体" w:hAnsi="宋体"/>
          <w:position w:val="-12"/>
          <w:sz w:val="24"/>
        </w:rPr>
        <w:object>
          <v:shape id="_x0000_i1048" o:spt="75" type="#_x0000_t75" style="height:17.65pt;width:12.9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3" ShapeID="_x0000_i1048" DrawAspect="Content" ObjectID="_1468075749" r:id="rId72">
            <o:LockedField>false</o:LockedField>
          </o:OLEObject>
        </w:object>
      </w:r>
    </w:p>
    <w:p>
      <w:pPr>
        <w:spacing w:line="440" w:lineRule="exact"/>
        <w:ind w:firstLine="480" w:firstLineChars="200"/>
        <w:rPr>
          <w:rFonts w:ascii="Calibri" w:hAnsi="Calibri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由于校准时要求重复测量</w:t>
      </w:r>
      <w:r>
        <w:rPr>
          <w:rFonts w:hint="eastAsia" w:ascii="宋体" w:hAnsi="宋体"/>
          <w:sz w:val="24"/>
          <w:szCs w:val="24"/>
          <w:lang w:val="en-US" w:eastAsia="zh-CN"/>
        </w:rPr>
        <w:t>6</w:t>
      </w:r>
      <w:r>
        <w:rPr>
          <w:rFonts w:hint="eastAsia" w:ascii="宋体" w:hAnsi="宋体"/>
          <w:sz w:val="24"/>
          <w:szCs w:val="24"/>
        </w:rPr>
        <w:t>次</w:t>
      </w:r>
      <w:r>
        <w:rPr>
          <w:rFonts w:hint="eastAsia" w:ascii="Calibri" w:hAnsi="Calibri"/>
          <w:sz w:val="24"/>
          <w:szCs w:val="24"/>
        </w:rPr>
        <w:t>，</w:t>
      </w:r>
      <w:r>
        <w:rPr>
          <w:rFonts w:hint="eastAsia" w:ascii="宋体" w:hAnsi="宋体"/>
          <w:sz w:val="24"/>
          <w:szCs w:val="24"/>
        </w:rPr>
        <w:t>其测量值如表</w:t>
      </w:r>
      <w:r>
        <w:rPr>
          <w:rFonts w:hint="eastAsia" w:ascii="宋体" w:hAnsi="宋体"/>
          <w:sz w:val="24"/>
          <w:szCs w:val="24"/>
          <w:lang w:val="en-US" w:eastAsia="zh-CN"/>
        </w:rPr>
        <w:t>D2</w:t>
      </w:r>
      <w:r>
        <w:rPr>
          <w:rFonts w:hint="eastAsia" w:ascii="宋体" w:hAnsi="宋体"/>
          <w:sz w:val="24"/>
          <w:szCs w:val="24"/>
        </w:rPr>
        <w:t>所示。</w:t>
      </w:r>
    </w:p>
    <w:p>
      <w:pPr>
        <w:jc w:val="center"/>
        <w:rPr>
          <w:rFonts w:hint="eastAsia" w:ascii="黑体" w:hAnsi="黑体" w:eastAsia="黑体" w:cs="黑体"/>
          <w:szCs w:val="24"/>
        </w:rPr>
      </w:pPr>
      <w:r>
        <w:rPr>
          <w:rFonts w:hint="eastAsia" w:ascii="黑体" w:hAnsi="黑体" w:eastAsia="黑体" w:cs="黑体"/>
        </w:rPr>
        <w:t>表</w:t>
      </w:r>
      <w:r>
        <w:rPr>
          <w:rFonts w:hint="eastAsia" w:ascii="黑体" w:hAnsi="黑体" w:eastAsia="黑体" w:cs="黑体"/>
          <w:lang w:val="en-US" w:eastAsia="zh-CN"/>
        </w:rPr>
        <w:t>D2</w:t>
      </w:r>
      <w:r>
        <w:rPr>
          <w:rFonts w:hint="eastAsia" w:ascii="黑体" w:hAnsi="黑体" w:eastAsia="黑体" w:cs="黑体"/>
        </w:rPr>
        <w:t>重复性实验数据</w:t>
      </w:r>
    </w:p>
    <w:tbl>
      <w:tblPr>
        <w:tblStyle w:val="29"/>
        <w:tblW w:w="568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>
            <w:pPr>
              <w:spacing w:line="440" w:lineRule="exact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序号</w:t>
            </w:r>
          </w:p>
        </w:tc>
        <w:tc>
          <w:tcPr>
            <w:tcW w:w="2841" w:type="dxa"/>
          </w:tcPr>
          <w:p>
            <w:pPr>
              <w:spacing w:line="440" w:lineRule="exact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氟含量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object>
                <v:shape id="_x0000_i1049" o:spt="75" type="#_x0000_t75" style="height:18pt;width:18.75pt;" o:ole="t" filled="f" o:preferrelative="t" stroked="f" coordsize="21600,21600">
                  <v:path/>
                  <v:fill on="f" focussize="0,0"/>
                  <v:stroke on="f" joinstyle="miter"/>
                  <v:imagedata r:id="rId75" o:title=""/>
                  <o:lock v:ext="edit" aspectratio="t"/>
                  <w10:wrap type="none"/>
                  <w10:anchorlock/>
                </v:shape>
                <o:OLEObject Type="Embed" ProgID="Equation.3" ShapeID="_x0000_i1049" DrawAspect="Content" ObjectID="_1468075750" r:id="rId74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position w:val="-10"/>
                <w:sz w:val="21"/>
                <w:szCs w:val="21"/>
              </w:rPr>
              <w:object>
                <v:shape id="_x0000_i1050" o:spt="75" type="#_x0000_t75" style="height:15.75pt;width:31.7pt;" o:ole="t" filled="f" o:preferrelative="t" stroked="f" coordsize="21600,21600">
                  <v:path/>
                  <v:fill on="f" focussize="0,0"/>
                  <v:stroke on="f"/>
                  <v:imagedata r:id="rId77" o:title=""/>
                  <o:lock v:ext="edit" aspectratio="t"/>
                  <w10:wrap type="none"/>
                  <w10:anchorlock/>
                </v:shape>
                <o:OLEObject Type="Embed" ProgID="Equation.3" ShapeID="_x0000_i1050" DrawAspect="Content" ObjectID="_1468075751" r:id="rId76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>
            <w:pPr>
              <w:spacing w:line="440" w:lineRule="exact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284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1050" w:firstLineChars="50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>
            <w:pPr>
              <w:spacing w:line="440" w:lineRule="exact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284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1050" w:firstLineChars="50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>
            <w:pPr>
              <w:spacing w:line="440" w:lineRule="exact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284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1050" w:firstLineChars="50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>
            <w:pPr>
              <w:spacing w:line="440" w:lineRule="exact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284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1050" w:firstLineChars="50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>
            <w:pPr>
              <w:spacing w:line="440" w:lineRule="exact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284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1050" w:firstLineChars="50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>
            <w:pPr>
              <w:spacing w:line="440" w:lineRule="exact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</w:t>
            </w:r>
          </w:p>
        </w:tc>
        <w:tc>
          <w:tcPr>
            <w:tcW w:w="284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1050" w:firstLineChars="500"/>
              <w:jc w:val="both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>
            <w:pPr>
              <w:spacing w:line="440" w:lineRule="exact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平均值</w:t>
            </w:r>
          </w:p>
        </w:tc>
        <w:tc>
          <w:tcPr>
            <w:tcW w:w="2841" w:type="dxa"/>
          </w:tcPr>
          <w:p>
            <w:pPr>
              <w:spacing w:line="440" w:lineRule="exact"/>
              <w:ind w:firstLine="1050" w:firstLineChars="50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855.8</w:t>
            </w:r>
          </w:p>
        </w:tc>
      </w:tr>
    </w:tbl>
    <w:p>
      <w:pPr>
        <w:spacing w:line="440" w:lineRule="exact"/>
        <w:ind w:firstLine="480" w:firstLineChars="200"/>
        <w:rPr>
          <w:rFonts w:ascii="Calibri" w:hAnsi="Calibri"/>
          <w:sz w:val="24"/>
          <w:szCs w:val="24"/>
        </w:rPr>
      </w:pPr>
      <w:r>
        <w:rPr>
          <w:rFonts w:hint="eastAsia" w:ascii="Calibri" w:hAnsi="Calibri"/>
          <w:sz w:val="24"/>
          <w:szCs w:val="24"/>
        </w:rPr>
        <w:t>重复性的标准不确定度计算，如下：</w:t>
      </w:r>
    </w:p>
    <w:p>
      <w:pPr>
        <w:tabs>
          <w:tab w:val="left" w:pos="6315"/>
        </w:tabs>
        <w:spacing w:line="360" w:lineRule="auto"/>
        <w:ind w:firstLine="2520" w:firstLineChars="900"/>
        <w:jc w:val="left"/>
        <w:rPr>
          <w:rFonts w:hint="eastAsia" w:eastAsia="黑体"/>
          <w:sz w:val="28"/>
          <w:szCs w:val="28"/>
        </w:rPr>
      </w:pPr>
      <w:r>
        <w:rPr>
          <w:rFonts w:hint="eastAsia" w:eastAsia="黑体"/>
          <w:position w:val="-30"/>
          <w:sz w:val="28"/>
          <w:szCs w:val="28"/>
        </w:rPr>
        <w:object>
          <v:shape id="_x0000_i1051" o:spt="75" type="#_x0000_t75" style="height:42.95pt;width:226.85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3" ShapeID="_x0000_i1051" DrawAspect="Content" ObjectID="_1468075752" r:id="rId78">
            <o:LockedField>false</o:LockedField>
          </o:OLEObject>
        </w:object>
      </w:r>
      <w:r>
        <w:rPr>
          <w:rFonts w:hint="eastAsia" w:eastAsia="黑体"/>
          <w:sz w:val="28"/>
          <w:szCs w:val="28"/>
        </w:rPr>
        <w:t xml:space="preserve"> 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D4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eastAsia="黑体"/>
          <w:sz w:val="28"/>
          <w:szCs w:val="28"/>
        </w:rPr>
        <w:t xml:space="preserve">        </w:t>
      </w:r>
    </w:p>
    <w:p>
      <w:pPr>
        <w:spacing w:line="348" w:lineRule="auto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</w:rPr>
        <w:t xml:space="preserve">D.5.3 </w:t>
      </w:r>
      <w:r>
        <w:rPr>
          <w:rFonts w:hint="eastAsia" w:ascii="宋体" w:hAnsi="宋体"/>
          <w:sz w:val="24"/>
          <w:lang w:eastAsia="zh-CN"/>
        </w:rPr>
        <w:t>样品称量</w:t>
      </w:r>
      <w:r>
        <w:rPr>
          <w:rFonts w:hint="eastAsia" w:ascii="宋体" w:hAnsi="宋体"/>
          <w:sz w:val="24"/>
        </w:rPr>
        <w:t>引入的不确定度分量</w:t>
      </w:r>
      <w:r>
        <w:rPr>
          <w:rFonts w:hint="eastAsia" w:ascii="宋体" w:hAnsi="宋体"/>
          <w:position w:val="-12"/>
          <w:sz w:val="24"/>
        </w:rPr>
        <w:object>
          <v:shape id="_x0000_i1052" o:spt="75" type="#_x0000_t75" style="height:19pt;width:12.9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3" ShapeID="_x0000_i1052" DrawAspect="Content" ObjectID="_1468075753" r:id="rId80">
            <o:LockedField>false</o:LockedField>
          </o:OLEObject>
        </w:object>
      </w:r>
    </w:p>
    <w:p>
      <w:pPr>
        <w:spacing w:line="348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szCs w:val="22"/>
          <w:lang w:eastAsia="zh-CN"/>
        </w:rPr>
        <w:t>由所用天平的不确定度和天平的变动性合成而得，用分度为</w:t>
      </w:r>
      <w:r>
        <w:rPr>
          <w:rFonts w:hint="eastAsia" w:ascii="宋体" w:hAnsi="宋体"/>
          <w:sz w:val="24"/>
          <w:szCs w:val="22"/>
          <w:lang w:val="en-US" w:eastAsia="zh-CN"/>
        </w:rPr>
        <w:t>0.1mg的分析天平称量0.5g样品，天平检定的不确定度为0.2mg，</w:t>
      </w:r>
      <w:r>
        <w:rPr>
          <w:rFonts w:hint="eastAsia" w:ascii="宋体" w:hAnsi="宋体"/>
          <w:i/>
          <w:iCs/>
          <w:sz w:val="24"/>
          <w:szCs w:val="22"/>
          <w:lang w:val="en-US" w:eastAsia="zh-CN"/>
        </w:rPr>
        <w:t>k</w:t>
      </w:r>
      <w:r>
        <w:rPr>
          <w:rFonts w:hint="eastAsia" w:ascii="宋体" w:hAnsi="宋体"/>
          <w:sz w:val="24"/>
          <w:szCs w:val="22"/>
          <w:lang w:val="en-US" w:eastAsia="zh-CN"/>
        </w:rPr>
        <w:t>=2,天平的变动性为0.2mg,所以：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</w:p>
    <w:p>
      <w:pPr>
        <w:spacing w:line="348" w:lineRule="auto"/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 xml:space="preserve">    </w:t>
      </w:r>
      <w:r>
        <w:rPr>
          <w:rFonts w:hint="eastAsia" w:ascii="宋体" w:hAnsi="宋体"/>
          <w:position w:val="-24"/>
          <w:sz w:val="24"/>
        </w:rPr>
        <w:object>
          <v:shape id="_x0000_i1053" o:spt="75" type="#_x0000_t75" style="height:47.95pt;width:297.95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3" ShapeID="_x0000_i1053" DrawAspect="Content" ObjectID="_1468075754" r:id="rId82">
            <o:LockedField>false</o:LockedField>
          </o:OLEObject>
        </w:object>
      </w:r>
      <w:r>
        <w:rPr>
          <w:rFonts w:hint="eastAsia" w:ascii="宋体" w:hAnsi="宋体"/>
          <w:position w:val="-18"/>
          <w:sz w:val="21"/>
          <w:szCs w:val="21"/>
          <w:lang w:val="en-US" w:eastAsia="zh-CN"/>
        </w:rPr>
        <w:t xml:space="preserve">     </w:t>
      </w:r>
      <w:r>
        <w:rPr>
          <w:rFonts w:hint="eastAsia" w:eastAsia="黑体"/>
          <w:sz w:val="28"/>
          <w:szCs w:val="28"/>
        </w:rPr>
        <w:t xml:space="preserve"> </w:t>
      </w:r>
      <w:r>
        <w:rPr>
          <w:rFonts w:hint="eastAsia" w:eastAsia="黑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 xml:space="preserve">  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D5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eastAsia="黑体"/>
          <w:sz w:val="28"/>
          <w:szCs w:val="28"/>
        </w:rPr>
        <w:t xml:space="preserve"> </w:t>
      </w:r>
    </w:p>
    <w:p>
      <w:pPr>
        <w:spacing w:line="348" w:lineRule="auto"/>
        <w:rPr>
          <w:rFonts w:hint="eastAsia" w:ascii="宋体" w:hAnsi="宋体"/>
          <w:position w:val="-12"/>
          <w:sz w:val="24"/>
        </w:rPr>
      </w:pPr>
      <w:r>
        <w:rPr>
          <w:rFonts w:hint="eastAsia" w:ascii="宋体" w:hAnsi="宋体"/>
          <w:sz w:val="24"/>
          <w:szCs w:val="22"/>
          <w:lang w:val="en-US" w:eastAsia="zh-CN"/>
        </w:rPr>
        <w:t>D.5.4 标准物质水分测定引入的分量</w:t>
      </w:r>
      <w:r>
        <w:rPr>
          <w:rFonts w:hint="eastAsia" w:ascii="宋体" w:hAnsi="宋体"/>
          <w:position w:val="-12"/>
          <w:sz w:val="24"/>
        </w:rPr>
        <w:object>
          <v:shape id="_x0000_i1054" o:spt="75" type="#_x0000_t75" style="height:19pt;width:12.9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3" ShapeID="_x0000_i1054" DrawAspect="Content" ObjectID="_1468075755" r:id="rId8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480" w:firstLineChars="200"/>
        <w:textAlignment w:val="auto"/>
        <w:outlineLvl w:val="9"/>
        <w:rPr>
          <w:rFonts w:hint="eastAsia" w:ascii="宋体" w:hAnsi="宋体"/>
          <w:position w:val="-12"/>
          <w:sz w:val="24"/>
          <w:vertAlign w:val="baseline"/>
          <w:lang w:val="en-US" w:eastAsia="zh-CN"/>
        </w:rPr>
      </w:pPr>
      <w:r>
        <w:rPr>
          <w:rFonts w:hint="eastAsia" w:ascii="宋体" w:hAnsi="宋体"/>
          <w:sz w:val="24"/>
          <w:lang w:eastAsia="zh-CN"/>
        </w:rPr>
        <w:t>煤中氟成分</w:t>
      </w:r>
      <w:r>
        <w:rPr>
          <w:rFonts w:hint="eastAsia" w:ascii="宋体" w:hAnsi="宋体"/>
          <w:sz w:val="24"/>
        </w:rPr>
        <w:t>标准物质GBW1</w:t>
      </w:r>
      <w:r>
        <w:rPr>
          <w:rFonts w:hint="eastAsia" w:ascii="宋体" w:hAnsi="宋体"/>
          <w:sz w:val="24"/>
          <w:lang w:val="en-US" w:eastAsia="zh-CN"/>
        </w:rPr>
        <w:t>1122采用GB/T 212方法B测定其水分M</w:t>
      </w:r>
      <w:r>
        <w:rPr>
          <w:rFonts w:hint="eastAsia" w:ascii="宋体" w:hAnsi="宋体"/>
          <w:sz w:val="24"/>
          <w:vertAlign w:val="subscript"/>
          <w:lang w:val="en-US" w:eastAsia="zh-CN"/>
        </w:rPr>
        <w:t>ad</w:t>
      </w:r>
      <w:r>
        <w:rPr>
          <w:rFonts w:hint="eastAsia" w:ascii="宋体" w:hAnsi="宋体"/>
          <w:sz w:val="24"/>
          <w:vertAlign w:val="baseline"/>
          <w:lang w:val="en-US" w:eastAsia="zh-CN"/>
        </w:rPr>
        <w:t>为1.10%，查阅水分测定仪不确定评定中，当被测物水分为1.10%，其相对扩展不确定度</w:t>
      </w:r>
      <w:r>
        <w:rPr>
          <w:rFonts w:hint="eastAsia" w:ascii="宋体" w:hAnsi="宋体"/>
          <w:position w:val="-14"/>
          <w:sz w:val="24"/>
        </w:rPr>
        <w:object>
          <v:shape id="_x0000_i1055" o:spt="75" type="#_x0000_t75" style="height:20.1pt;width:24.8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3" ShapeID="_x0000_i1055" DrawAspect="Content" ObjectID="_1468075756" r:id="rId86">
            <o:LockedField>false</o:LockedField>
          </o:OLEObject>
        </w:object>
      </w:r>
      <w:r>
        <w:rPr>
          <w:rFonts w:hint="eastAsia" w:ascii="宋体" w:hAnsi="宋体"/>
          <w:sz w:val="24"/>
          <w:vertAlign w:val="baseline"/>
          <w:lang w:val="en-US" w:eastAsia="zh-CN"/>
        </w:rPr>
        <w:t>为0.12%，</w:t>
      </w:r>
      <w:r>
        <w:rPr>
          <w:rFonts w:hint="eastAsia" w:ascii="宋体" w:hAnsi="宋体"/>
          <w:i/>
          <w:iCs/>
          <w:sz w:val="24"/>
          <w:vertAlign w:val="baseline"/>
          <w:lang w:val="en-US" w:eastAsia="zh-CN"/>
        </w:rPr>
        <w:t>k</w:t>
      </w:r>
      <w:r>
        <w:rPr>
          <w:rFonts w:hint="eastAsia" w:ascii="宋体" w:hAnsi="宋体"/>
          <w:sz w:val="24"/>
          <w:vertAlign w:val="baseline"/>
          <w:lang w:val="en-US" w:eastAsia="zh-CN"/>
        </w:rPr>
        <w:t>=2。空气干燥基换算为空气干燥基的换算公式为（D6）。</w:t>
      </w:r>
    </w:p>
    <w:p>
      <w:pPr>
        <w:spacing w:line="348" w:lineRule="auto"/>
        <w:ind w:firstLine="480" w:firstLineChars="200"/>
        <w:jc w:val="center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position w:val="-30"/>
          <w:sz w:val="24"/>
          <w:lang w:val="en-US" w:eastAsia="zh-CN"/>
        </w:rPr>
        <w:t xml:space="preserve">                           </w:t>
      </w:r>
      <w:r>
        <w:rPr>
          <w:rFonts w:hint="eastAsia" w:ascii="宋体" w:hAnsi="宋体"/>
          <w:position w:val="-30"/>
          <w:sz w:val="24"/>
          <w:lang w:val="en-US" w:eastAsia="zh-CN"/>
        </w:rPr>
        <w:object>
          <v:shape id="_x0000_i1056" o:spt="75" type="#_x0000_t75" style="height:34pt;width:99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56" DrawAspect="Content" ObjectID="_1468075757" r:id="rId88">
            <o:LockedField>false</o:LockedField>
          </o:OLEObject>
        </w:object>
      </w:r>
      <w:r>
        <w:rPr>
          <w:rFonts w:hint="eastAsia" w:ascii="宋体" w:hAnsi="宋体"/>
          <w:position w:val="-30"/>
          <w:sz w:val="24"/>
          <w:lang w:val="en-US" w:eastAsia="zh-CN"/>
        </w:rPr>
        <w:t xml:space="preserve">  </w:t>
      </w:r>
      <w:r>
        <w:rPr>
          <w:rFonts w:hint="eastAsia" w:eastAsia="黑体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D6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pStyle w:val="40"/>
        <w:snapToGrid/>
        <w:spacing w:line="360" w:lineRule="auto"/>
        <w:ind w:firstLine="480"/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</w:rPr>
        <w:t>式中：</w:t>
      </w:r>
    </w:p>
    <w:p>
      <w:pPr>
        <w:pStyle w:val="40"/>
        <w:snapToGrid/>
        <w:spacing w:line="360" w:lineRule="auto"/>
        <w:ind w:firstLine="480"/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2"/>
          <w:position w:val="-12"/>
          <w:sz w:val="24"/>
          <w:szCs w:val="24"/>
        </w:rPr>
        <w:object>
          <v:shape id="_x0000_i1057" o:spt="75" type="#_x0000_t75" style="height:16.65pt;width:13.4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3" ShapeID="_x0000_i1057" DrawAspect="Content" ObjectID="_1468075758" r:id="rId90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</w:rPr>
        <w:t>-----</w:t>
      </w:r>
      <w:r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  <w:lang w:eastAsia="zh-CN"/>
        </w:rPr>
        <w:t>干基示值</w:t>
      </w:r>
      <w:r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</w:rPr>
        <w:t>；</w:t>
      </w:r>
    </w:p>
    <w:p>
      <w:pPr>
        <w:pStyle w:val="40"/>
        <w:snapToGrid/>
        <w:spacing w:line="360" w:lineRule="auto"/>
        <w:ind w:firstLine="480"/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2"/>
          <w:position w:val="-12"/>
          <w:sz w:val="24"/>
          <w:szCs w:val="24"/>
        </w:rPr>
        <w:object>
          <v:shape id="_x0000_i1058" o:spt="75" type="#_x0000_t75" style="height:18pt;width:17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3" ShapeID="_x0000_i1058" DrawAspect="Content" ObjectID="_1468075759" r:id="rId92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</w:rPr>
        <w:t>-----</w:t>
      </w:r>
      <w:r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  <w:lang w:eastAsia="zh-CN"/>
        </w:rPr>
        <w:t>空干基示值</w:t>
      </w:r>
      <w:r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</w:rPr>
        <w:t>；</w:t>
      </w:r>
    </w:p>
    <w:p>
      <w:pPr>
        <w:spacing w:line="348" w:lineRule="auto"/>
        <w:ind w:firstLine="480" w:firstLineChars="200"/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pacing w:val="0"/>
          <w:kern w:val="2"/>
          <w:position w:val="-12"/>
          <w:sz w:val="24"/>
          <w:szCs w:val="24"/>
        </w:rPr>
        <w:object>
          <v:shape id="_x0000_i1059" o:spt="75" type="#_x0000_t75" style="height:16.65pt;width:23.55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3" ShapeID="_x0000_i1059" DrawAspect="Content" ObjectID="_1468075760" r:id="rId94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</w:rPr>
        <w:t>------</w:t>
      </w:r>
      <w:r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  <w:lang w:val="en-US" w:eastAsia="zh-CN" w:bidi="ar-SA"/>
        </w:rPr>
        <w:t>空干基水分</w:t>
      </w:r>
      <w:r>
        <w:rPr>
          <w:rFonts w:hint="eastAsia" w:ascii="宋体" w:hAnsi="宋体" w:cs="宋体"/>
          <w:color w:val="auto"/>
          <w:spacing w:val="0"/>
          <w:kern w:val="2"/>
          <w:sz w:val="24"/>
          <w:szCs w:val="24"/>
          <w:lang w:val="en-US" w:eastAsia="zh-CN" w:bidi="ar-SA"/>
        </w:rPr>
        <w:t>。</w:t>
      </w:r>
    </w:p>
    <w:p>
      <w:pPr>
        <w:spacing w:line="348" w:lineRule="auto"/>
        <w:ind w:firstLine="480" w:firstLineChars="200"/>
        <w:rPr>
          <w:rFonts w:hint="eastAsia" w:ascii="宋体" w:hAnsi="宋体" w:eastAsia="宋体" w:cs="宋体"/>
          <w:position w:val="-12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由于上述可推算由水分测定引入的分量</w:t>
      </w:r>
      <w:r>
        <w:rPr>
          <w:rFonts w:hint="eastAsia" w:ascii="宋体" w:hAnsi="宋体" w:eastAsia="宋体" w:cs="宋体"/>
          <w:position w:val="-12"/>
          <w:sz w:val="24"/>
          <w:szCs w:val="24"/>
        </w:rPr>
        <w:object>
          <v:shape id="_x0000_i1060" o:spt="75" type="#_x0000_t75" style="height:19pt;width:12.9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3" ShapeID="_x0000_i1060" DrawAspect="Content" ObjectID="_1468075761" r:id="rId96">
            <o:LockedField>false</o:LockedField>
          </o:OLEObject>
        </w:object>
      </w:r>
      <w:r>
        <w:rPr>
          <w:rFonts w:hint="eastAsia" w:ascii="宋体" w:hAnsi="宋体" w:cs="宋体"/>
          <w:position w:val="-12"/>
          <w:sz w:val="24"/>
          <w:szCs w:val="24"/>
          <w:lang w:eastAsia="zh-CN"/>
        </w:rPr>
        <w:t>：</w:t>
      </w:r>
    </w:p>
    <w:p>
      <w:pPr>
        <w:spacing w:line="348" w:lineRule="auto"/>
        <w:ind w:firstLine="480" w:firstLineChars="200"/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position w:val="-14"/>
          <w:sz w:val="24"/>
          <w:szCs w:val="24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position w:val="-14"/>
          <w:sz w:val="24"/>
          <w:szCs w:val="24"/>
          <w:lang w:val="en-US" w:eastAsia="zh-CN"/>
        </w:rPr>
        <w:object>
          <v:shape id="_x0000_i1061" o:spt="75" type="#_x0000_t75" style="height:19pt;width:226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061" DrawAspect="Content" ObjectID="_1468075762" r:id="rId98">
            <o:LockedField>false</o:LockedField>
          </o:OLEObject>
        </w:object>
      </w:r>
      <w:r>
        <w:rPr>
          <w:rFonts w:hint="eastAsia" w:ascii="宋体" w:hAnsi="宋体"/>
          <w:position w:val="-18"/>
          <w:sz w:val="21"/>
          <w:szCs w:val="21"/>
          <w:lang w:val="en-US" w:eastAsia="zh-CN"/>
        </w:rPr>
        <w:t xml:space="preserve">   </w:t>
      </w:r>
      <w:r>
        <w:rPr>
          <w:rFonts w:hint="eastAsia" w:eastAsia="黑体"/>
          <w:sz w:val="28"/>
          <w:szCs w:val="28"/>
        </w:rPr>
        <w:t xml:space="preserve"> </w:t>
      </w:r>
      <w:r>
        <w:rPr>
          <w:rFonts w:hint="eastAsia" w:eastAsia="黑体"/>
          <w:sz w:val="28"/>
          <w:szCs w:val="28"/>
          <w:lang w:val="en-US" w:eastAsia="zh-CN"/>
        </w:rPr>
        <w:t xml:space="preserve">   </w:t>
      </w:r>
      <w:r>
        <w:rPr>
          <w:rFonts w:hint="eastAsia" w:eastAsia="黑体"/>
          <w:sz w:val="28"/>
          <w:szCs w:val="28"/>
        </w:rPr>
        <w:t xml:space="preserve"> </w:t>
      </w:r>
      <w:r>
        <w:rPr>
          <w:rFonts w:hint="eastAsia" w:eastAsia="黑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 xml:space="preserve">  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D7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eastAsia="黑体"/>
          <w:sz w:val="28"/>
          <w:szCs w:val="28"/>
        </w:rPr>
        <w:t xml:space="preserve"> </w:t>
      </w:r>
    </w:p>
    <w:p>
      <w:pPr>
        <w:spacing w:line="348" w:lineRule="auto"/>
        <w:rPr>
          <w:rFonts w:hint="eastAsia"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</w:rPr>
        <w:t>D.</w:t>
      </w:r>
      <w:r>
        <w:rPr>
          <w:rFonts w:hint="eastAsia" w:ascii="黑体" w:hAnsi="黑体" w:eastAsia="黑体" w:cs="黑体"/>
          <w:sz w:val="24"/>
          <w:lang w:val="en-US" w:eastAsia="zh-CN"/>
        </w:rPr>
        <w:t>5</w:t>
      </w:r>
      <w:r>
        <w:rPr>
          <w:rFonts w:hint="eastAsia" w:ascii="黑体" w:hAnsi="黑体" w:eastAsia="黑体" w:cs="黑体"/>
          <w:sz w:val="24"/>
        </w:rPr>
        <w:t xml:space="preserve"> 合成标准不确定度</w:t>
      </w:r>
    </w:p>
    <w:p>
      <w:pPr>
        <w:spacing w:line="348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  <w:lang w:val="en-US" w:eastAsia="zh-CN"/>
        </w:rPr>
        <w:t xml:space="preserve">     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  <w:lang w:val="en-US" w:eastAsia="zh-CN"/>
        </w:rPr>
        <w:t xml:space="preserve"> </w:t>
      </w:r>
      <w:r>
        <w:rPr>
          <w:rFonts w:hint="eastAsia" w:ascii="宋体" w:hAnsi="宋体"/>
          <w:position w:val="-30"/>
          <w:sz w:val="24"/>
        </w:rPr>
        <w:object>
          <v:shape id="_x0000_i1062" o:spt="75" type="#_x0000_t75" style="height:38.05pt;width:176.9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3" ShapeID="_x0000_i1062" DrawAspect="Content" ObjectID="_1468075763" r:id="rId100">
            <o:LockedField>false</o:LockedField>
          </o:OLEObject>
        </w:object>
      </w:r>
      <w:r>
        <w:rPr>
          <w:rFonts w:hint="eastAsia" w:ascii="宋体" w:hAnsi="宋体"/>
          <w:position w:val="-18"/>
          <w:sz w:val="21"/>
          <w:szCs w:val="21"/>
          <w:lang w:val="en-US" w:eastAsia="zh-CN"/>
        </w:rPr>
        <w:t xml:space="preserve">     </w:t>
      </w:r>
      <w:r>
        <w:rPr>
          <w:rFonts w:hint="eastAsia" w:eastAsia="黑体"/>
          <w:sz w:val="28"/>
          <w:szCs w:val="28"/>
        </w:rPr>
        <w:t xml:space="preserve"> </w:t>
      </w:r>
      <w:r>
        <w:rPr>
          <w:rFonts w:hint="eastAsia" w:eastAsia="黑体"/>
          <w:sz w:val="28"/>
          <w:szCs w:val="28"/>
          <w:lang w:val="en-US" w:eastAsia="zh-CN"/>
        </w:rPr>
        <w:t xml:space="preserve">      </w:t>
      </w:r>
      <w:r>
        <w:rPr>
          <w:rFonts w:hint="eastAsia" w:eastAsia="黑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 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D8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eastAsia="黑体"/>
          <w:sz w:val="28"/>
          <w:szCs w:val="28"/>
        </w:rPr>
        <w:t xml:space="preserve"> </w:t>
      </w:r>
    </w:p>
    <w:p>
      <w:pPr>
        <w:spacing w:line="348" w:lineRule="auto"/>
        <w:rPr>
          <w:rFonts w:hint="eastAsia"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</w:rPr>
        <w:t>D.</w:t>
      </w:r>
      <w:r>
        <w:rPr>
          <w:rFonts w:hint="eastAsia" w:ascii="黑体" w:hAnsi="黑体" w:eastAsia="黑体" w:cs="黑体"/>
          <w:sz w:val="24"/>
          <w:lang w:val="en-US" w:eastAsia="zh-CN"/>
        </w:rPr>
        <w:t>6</w:t>
      </w:r>
      <w:r>
        <w:rPr>
          <w:rFonts w:hint="eastAsia" w:ascii="黑体" w:hAnsi="黑体" w:eastAsia="黑体" w:cs="黑体"/>
          <w:sz w:val="24"/>
        </w:rPr>
        <w:t xml:space="preserve"> 示值误差扩展不确定度</w:t>
      </w:r>
    </w:p>
    <w:p>
      <w:pPr>
        <w:spacing w:line="348" w:lineRule="auto"/>
        <w:ind w:firstLine="480" w:firstLineChars="200"/>
        <w:rPr>
          <w:rFonts w:hint="eastAsia" w:ascii="宋体" w:hAnsi="宋体" w:eastAsia="宋体" w:cs="宋体"/>
          <w:sz w:val="24"/>
          <w:lang w:val="en-US" w:eastAsia="zh-CN"/>
        </w:rPr>
        <w:sectPr>
          <w:pgSz w:w="12240" w:h="15840"/>
          <w:pgMar w:top="1440" w:right="1800" w:bottom="1440" w:left="1800" w:header="720" w:footer="720" w:gutter="0"/>
          <w:pgNumType w:fmt="decimal"/>
          <w:cols w:space="720" w:num="1"/>
        </w:sectPr>
      </w:pPr>
      <w:r>
        <w:rPr>
          <w:rFonts w:hint="eastAsia" w:ascii="宋体" w:hAnsi="宋体" w:eastAsia="宋体" w:cs="宋体"/>
          <w:sz w:val="24"/>
        </w:rPr>
        <w:t>取</w:t>
      </w:r>
      <w:r>
        <w:rPr>
          <w:rFonts w:hint="eastAsia" w:ascii="宋体" w:hAnsi="宋体" w:eastAsia="宋体" w:cs="宋体"/>
          <w:i/>
          <w:sz w:val="24"/>
        </w:rPr>
        <w:t>k</w:t>
      </w:r>
      <w:r>
        <w:rPr>
          <w:rFonts w:hint="eastAsia" w:ascii="宋体" w:hAnsi="宋体" w:eastAsia="宋体" w:cs="宋体"/>
          <w:sz w:val="24"/>
        </w:rPr>
        <w:t>=2</w:t>
      </w:r>
      <w:r>
        <w:rPr>
          <w:rFonts w:hint="eastAsia" w:ascii="宋体" w:hAnsi="宋体" w:cs="宋体"/>
          <w:sz w:val="24"/>
          <w:lang w:eastAsia="zh-CN"/>
        </w:rPr>
        <w:t>，</w:t>
      </w:r>
      <w:r>
        <w:rPr>
          <w:rFonts w:hint="eastAsia" w:ascii="宋体" w:hAnsi="宋体" w:eastAsia="宋体" w:cs="宋体"/>
          <w:sz w:val="24"/>
        </w:rPr>
        <w:t>则</w:t>
      </w:r>
      <w:r>
        <w:rPr>
          <w:rFonts w:hint="eastAsia" w:ascii="宋体" w:hAnsi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i/>
          <w:iCs/>
          <w:sz w:val="24"/>
        </w:rPr>
        <w:t>U</w:t>
      </w:r>
      <w:r>
        <w:rPr>
          <w:rFonts w:hint="eastAsia" w:ascii="宋体" w:hAnsi="宋体" w:eastAsia="宋体" w:cs="宋体"/>
          <w:sz w:val="24"/>
        </w:rPr>
        <w:t>=</w:t>
      </w:r>
      <w:r>
        <w:rPr>
          <w:rFonts w:hint="eastAsia" w:ascii="宋体" w:hAnsi="宋体" w:eastAsia="宋体" w:cs="宋体"/>
          <w:sz w:val="24"/>
          <w:lang w:val="en-US" w:eastAsia="zh-CN"/>
        </w:rPr>
        <w:t>24</w:t>
      </w:r>
      <w:r>
        <w:rPr>
          <w:rFonts w:hint="eastAsia" w:ascii="宋体" w:hAnsi="宋体" w:eastAsia="宋体" w:cs="宋体"/>
          <w:position w:val="-10"/>
          <w:sz w:val="24"/>
        </w:rPr>
        <w:object>
          <v:shape id="_x0000_i1063" o:spt="75" type="#_x0000_t75" style="height:16pt;width:34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f"/>
            <w10:wrap type="none"/>
            <w10:anchorlock/>
          </v:shape>
          <o:OLEObject Type="Embed" ProgID="Equation.DSMT4" ShapeID="_x0000_i1063" DrawAspect="Content" ObjectID="_1468075764" r:id="rId102">
            <o:LockedField>false</o:LockedField>
          </o:OLEObject>
        </w:object>
      </w:r>
      <w:r>
        <w:rPr>
          <w:rFonts w:hint="eastAsia" w:ascii="宋体" w:hAnsi="宋体" w:cs="宋体"/>
          <w:position w:val="-10"/>
          <w:sz w:val="24"/>
          <w:lang w:eastAsia="zh-CN"/>
        </w:rPr>
        <w:t>。</w:t>
      </w:r>
    </w:p>
    <w:p>
      <w:pPr>
        <w:pStyle w:val="2"/>
        <w:spacing w:before="0" w:after="0" w:line="240" w:lineRule="auto"/>
        <w:rPr>
          <w:rFonts w:hint="eastAsia" w:eastAsia="黑体"/>
          <w:sz w:val="28"/>
          <w:szCs w:val="28"/>
        </w:rPr>
      </w:pPr>
      <w:r>
        <w:rPr>
          <w:rFonts w:hint="eastAsia" w:ascii="黑体" w:eastAsia="黑体"/>
          <w:b w:val="0"/>
          <w:sz w:val="28"/>
          <w:szCs w:val="28"/>
        </w:rPr>
        <w:t>附录</w:t>
      </w:r>
      <w:r>
        <w:rPr>
          <w:rFonts w:hint="eastAsia" w:ascii="黑体" w:eastAsia="黑体"/>
          <w:b w:val="0"/>
          <w:sz w:val="28"/>
          <w:szCs w:val="28"/>
          <w:lang w:val="en-US" w:eastAsia="zh-CN"/>
        </w:rPr>
        <w:t>E</w:t>
      </w:r>
    </w:p>
    <w:p>
      <w:pPr>
        <w:jc w:val="center"/>
        <w:rPr>
          <w:rFonts w:hint="eastAsia" w:ascii="黑体" w:eastAsia="黑体" w:cs="宋体"/>
          <w:sz w:val="28"/>
          <w:szCs w:val="28"/>
          <w:lang w:val="zh-CN"/>
        </w:rPr>
      </w:pPr>
      <w:r>
        <w:rPr>
          <w:rFonts w:hint="eastAsia" w:ascii="黑体" w:eastAsia="黑体" w:cs="宋体"/>
          <w:sz w:val="28"/>
          <w:szCs w:val="28"/>
          <w:lang w:val="zh-CN"/>
        </w:rPr>
        <w:t>煤中氯</w:t>
      </w:r>
      <w:r>
        <w:rPr>
          <w:rFonts w:hint="eastAsia" w:ascii="黑体" w:eastAsia="黑体" w:cs="宋体"/>
          <w:sz w:val="28"/>
          <w:szCs w:val="28"/>
          <w:lang w:val="zh-CN" w:eastAsia="zh-CN"/>
        </w:rPr>
        <w:t>测定仪示值误差</w:t>
      </w:r>
      <w:r>
        <w:rPr>
          <w:rFonts w:hint="eastAsia" w:ascii="黑体" w:eastAsia="黑体" w:cs="宋体"/>
          <w:sz w:val="28"/>
          <w:szCs w:val="28"/>
          <w:lang w:val="zh-CN"/>
        </w:rPr>
        <w:t>的不确定度</w:t>
      </w:r>
      <w:r>
        <w:rPr>
          <w:rFonts w:hint="eastAsia" w:ascii="黑体" w:eastAsia="黑体" w:cs="宋体"/>
          <w:sz w:val="28"/>
          <w:szCs w:val="28"/>
          <w:lang w:val="zh-CN" w:eastAsia="zh-CN"/>
        </w:rPr>
        <w:t>评定</w:t>
      </w:r>
      <w:r>
        <w:rPr>
          <w:rFonts w:hint="eastAsia" w:ascii="黑体" w:eastAsia="黑体" w:cs="宋体"/>
          <w:sz w:val="28"/>
          <w:szCs w:val="28"/>
          <w:lang w:val="zh-CN"/>
        </w:rPr>
        <w:t>示例</w:t>
      </w:r>
    </w:p>
    <w:p>
      <w:pPr>
        <w:spacing w:line="348" w:lineRule="auto"/>
        <w:rPr>
          <w:rFonts w:hint="eastAsia"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  <w:lang w:val="en-US" w:eastAsia="zh-CN"/>
        </w:rPr>
        <w:t>E</w:t>
      </w:r>
      <w:r>
        <w:rPr>
          <w:rFonts w:hint="eastAsia" w:ascii="黑体" w:hAnsi="黑体" w:eastAsia="黑体" w:cs="黑体"/>
          <w:sz w:val="24"/>
        </w:rPr>
        <w:t>.1 测量方法</w:t>
      </w:r>
    </w:p>
    <w:p>
      <w:pPr>
        <w:spacing w:line="348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将</w:t>
      </w:r>
      <w:r>
        <w:rPr>
          <w:rFonts w:hint="eastAsia" w:ascii="宋体" w:hAnsi="宋体"/>
          <w:sz w:val="24"/>
          <w:lang w:eastAsia="zh-CN"/>
        </w:rPr>
        <w:t>煤中氯成分</w:t>
      </w:r>
      <w:r>
        <w:rPr>
          <w:rFonts w:hint="eastAsia" w:ascii="宋体" w:hAnsi="宋体"/>
          <w:sz w:val="24"/>
        </w:rPr>
        <w:t>标准物质的</w:t>
      </w:r>
      <w:r>
        <w:rPr>
          <w:rFonts w:hint="eastAsia" w:ascii="宋体" w:hAnsi="宋体"/>
          <w:sz w:val="24"/>
          <w:lang w:eastAsia="zh-CN"/>
        </w:rPr>
        <w:t>两</w:t>
      </w:r>
      <w:r>
        <w:rPr>
          <w:rFonts w:hint="eastAsia" w:ascii="宋体" w:hAnsi="宋体"/>
          <w:sz w:val="24"/>
        </w:rPr>
        <w:t>次测量结果的算数平均值，与标准物质的的标准值进行比较，以两者之差作为</w:t>
      </w:r>
      <w:r>
        <w:rPr>
          <w:rFonts w:hint="eastAsia" w:ascii="宋体" w:hAnsi="宋体"/>
          <w:sz w:val="24"/>
          <w:lang w:eastAsia="zh-CN"/>
        </w:rPr>
        <w:t>煤中氯</w:t>
      </w:r>
      <w:r>
        <w:rPr>
          <w:rFonts w:hint="eastAsia" w:ascii="宋体" w:hAnsi="宋体"/>
          <w:sz w:val="24"/>
        </w:rPr>
        <w:t>测定仪的示值误差</w:t>
      </w:r>
      <w:r>
        <w:rPr>
          <w:rFonts w:hint="eastAsia"/>
          <w:sz w:val="24"/>
        </w:rPr>
        <w:t>。</w:t>
      </w:r>
    </w:p>
    <w:p>
      <w:pPr>
        <w:spacing w:line="348" w:lineRule="auto"/>
        <w:rPr>
          <w:rFonts w:hint="eastAsia"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  <w:lang w:val="en-US" w:eastAsia="zh-CN"/>
        </w:rPr>
        <w:t>E</w:t>
      </w:r>
      <w:r>
        <w:rPr>
          <w:rFonts w:hint="eastAsia" w:ascii="黑体" w:hAnsi="黑体" w:eastAsia="黑体" w:cs="黑体"/>
          <w:sz w:val="24"/>
        </w:rPr>
        <w:t>.2 数学模型</w:t>
      </w:r>
    </w:p>
    <w:p>
      <w:pPr>
        <w:spacing w:line="348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示值误差公式：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color w:val="auto"/>
          <w:spacing w:val="0"/>
          <w:kern w:val="2"/>
          <w:position w:val="-12"/>
          <w:sz w:val="24"/>
          <w:szCs w:val="24"/>
        </w:rPr>
        <w:object>
          <v:shape id="_x0000_i1064" o:spt="75" type="#_x0000_t75" style="height:19pt;width:59.8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3" ShapeID="_x0000_i1064" DrawAspect="Content" ObjectID="_1468075765" r:id="rId104">
            <o:LockedField>false</o:LockedField>
          </o:OLEObject>
        </w:object>
      </w:r>
      <w:r>
        <w:rPr>
          <w:rFonts w:hint="eastAsia" w:ascii="宋体" w:hAnsi="宋体" w:eastAsia="宋体" w:cs="宋体"/>
          <w:position w:val="-18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E1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>
      <w:pPr>
        <w:autoSpaceDE w:val="0"/>
        <w:autoSpaceDN w:val="0"/>
        <w:adjustRightInd w:val="0"/>
        <w:spacing w:line="348" w:lineRule="auto"/>
        <w:ind w:firstLine="480" w:firstLineChars="200"/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式中：</w:t>
      </w:r>
    </w:p>
    <w:p>
      <w:pPr>
        <w:pStyle w:val="40"/>
        <w:snapToGrid/>
        <w:spacing w:line="360" w:lineRule="auto"/>
        <w:ind w:firstLine="480"/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</w:rPr>
        <w:object>
          <v:shape id="_x0000_i1065" o:spt="75" type="#_x0000_t75" style="height:12pt;width:19.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3" ShapeID="_x0000_i1065" DrawAspect="Content" ObjectID="_1468075766" r:id="rId105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</w:rPr>
        <w:t>-----示值误差，%；</w:t>
      </w:r>
    </w:p>
    <w:p>
      <w:pPr>
        <w:pStyle w:val="40"/>
        <w:snapToGrid/>
        <w:spacing w:line="360" w:lineRule="auto"/>
        <w:ind w:firstLine="480"/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</w:rPr>
        <w:object>
          <v:shape id="_x0000_i1066" o:spt="75" type="#_x0000_t75" style="height:15pt;width:12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3" ShapeID="_x0000_i1066" DrawAspect="Content" ObjectID="_1468075767" r:id="rId106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</w:rPr>
        <w:t>-------</w:t>
      </w:r>
      <w:r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  <w:lang w:eastAsia="zh-CN"/>
        </w:rPr>
        <w:t>两次</w:t>
      </w:r>
      <w:r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</w:rPr>
        <w:t>测</w:t>
      </w:r>
      <w:r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  <w:lang w:eastAsia="zh-CN"/>
        </w:rPr>
        <w:t>定</w:t>
      </w:r>
      <w:r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</w:rPr>
        <w:t>干基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氯</w:t>
      </w:r>
      <w:r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  <w:lang w:eastAsia="zh-CN"/>
        </w:rPr>
        <w:t>含量的</w:t>
      </w:r>
      <w:r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</w:rPr>
        <w:t>平均值，%；</w:t>
      </w:r>
    </w:p>
    <w:p>
      <w:pPr>
        <w:autoSpaceDE w:val="0"/>
        <w:autoSpaceDN w:val="0"/>
        <w:adjustRightInd w:val="0"/>
        <w:spacing w:line="348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2"/>
          <w:position w:val="-12"/>
          <w:sz w:val="24"/>
          <w:szCs w:val="24"/>
          <w:lang w:val="en-US" w:eastAsia="zh-CN" w:bidi="ar-SA"/>
        </w:rPr>
        <w:object>
          <v:shape id="_x0000_i1067" o:spt="75" type="#_x0000_t75" style="height:16.65pt;width:13.35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3" ShapeID="_x0000_i1067" DrawAspect="Content" ObjectID="_1468075768" r:id="rId107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  <w:lang w:val="en-US" w:eastAsia="zh-CN" w:bidi="ar-SA"/>
        </w:rPr>
        <w:t>-------标准值，</w:t>
      </w:r>
      <w:r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</w:rPr>
        <w:t>%</w:t>
      </w:r>
      <w:r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  <w:lang w:val="en-US" w:eastAsia="zh-CN" w:bidi="ar-SA"/>
        </w:rPr>
        <w:t>。</w:t>
      </w:r>
    </w:p>
    <w:p>
      <w:pPr>
        <w:spacing w:line="348" w:lineRule="auto"/>
        <w:rPr>
          <w:rFonts w:hint="eastAsia"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  <w:lang w:val="en-US" w:eastAsia="zh-CN"/>
        </w:rPr>
        <w:t>E</w:t>
      </w:r>
      <w:r>
        <w:rPr>
          <w:rFonts w:hint="eastAsia" w:ascii="黑体" w:hAnsi="黑体" w:eastAsia="黑体" w:cs="黑体"/>
          <w:sz w:val="24"/>
        </w:rPr>
        <w:t>.3 方差和灵敏系数</w:t>
      </w:r>
    </w:p>
    <w:p>
      <w:pPr>
        <w:spacing w:line="348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因为</w:t>
      </w:r>
      <w:r>
        <w:rPr>
          <w:rFonts w:ascii="宋体" w:hAnsi="宋体"/>
          <w:position w:val="-32"/>
          <w:sz w:val="24"/>
        </w:rPr>
        <w:object>
          <v:shape id="_x0000_i1068" o:spt="75" type="#_x0000_t75" style="height:40.75pt;width:120.2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68" DrawAspect="Content" ObjectID="_1468075769" r:id="rId108">
            <o:LockedField>false</o:LockedField>
          </o:OLEObject>
        </w:object>
      </w:r>
      <w:r>
        <w:rPr>
          <w:rFonts w:hint="eastAsia" w:ascii="宋体" w:hAnsi="宋体"/>
          <w:sz w:val="24"/>
        </w:rPr>
        <w:t>，可知</w:t>
      </w:r>
      <w:r>
        <w:rPr>
          <w:rFonts w:hint="eastAsia" w:ascii="宋体" w:hAnsi="宋体"/>
          <w:sz w:val="24"/>
        </w:rPr>
        <w:tab/>
      </w:r>
    </w:p>
    <w:p>
      <w:pPr>
        <w:spacing w:line="348" w:lineRule="auto"/>
        <w:ind w:firstLine="1440" w:firstLineChars="600"/>
        <w:rPr>
          <w:rFonts w:hint="eastAsia" w:ascii="宋体" w:hAnsi="宋体" w:eastAsia="宋体"/>
          <w:sz w:val="24"/>
          <w:lang w:val="en-US" w:eastAsia="zh-CN"/>
        </w:rPr>
      </w:pPr>
      <w:r>
        <w:rPr>
          <w:rFonts w:ascii="宋体" w:hAnsi="宋体"/>
          <w:position w:val="-18"/>
          <w:sz w:val="24"/>
        </w:rPr>
        <w:object>
          <v:shape id="_x0000_i1069" o:spt="75" type="#_x0000_t75" style="height:23.1pt;width:212.1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DSMT4" ShapeID="_x0000_i1069" DrawAspect="Content" ObjectID="_1468075770" r:id="rId109">
            <o:LockedField>false</o:LockedField>
          </o:OLEObject>
        </w:object>
      </w:r>
      <w:r>
        <w:rPr>
          <w:rFonts w:hint="eastAsia" w:ascii="宋体" w:hAnsi="宋体"/>
          <w:position w:val="-18"/>
          <w:sz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position w:val="-18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E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/>
          <w:position w:val="-18"/>
          <w:sz w:val="24"/>
          <w:lang w:val="en-US" w:eastAsia="zh-CN"/>
        </w:rPr>
        <w:t xml:space="preserve">              </w:t>
      </w:r>
    </w:p>
    <w:p>
      <w:pPr>
        <w:spacing w:line="348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式中：</w:t>
      </w:r>
      <w:r>
        <w:rPr>
          <w:rFonts w:ascii="宋体" w:hAnsi="宋体"/>
          <w:position w:val="-26"/>
          <w:sz w:val="24"/>
        </w:rPr>
        <w:object>
          <v:shape id="_x0000_i1070" o:spt="75" type="#_x0000_t75" style="height:31.25pt;width:81.85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DSMT4" ShapeID="_x0000_i1070" DrawAspect="Content" ObjectID="_1468075771" r:id="rId110">
            <o:LockedField>false</o:LockedField>
          </o:OLEObject>
        </w:object>
      </w:r>
    </w:p>
    <w:p>
      <w:pPr>
        <w:spacing w:line="348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position w:val="-30"/>
          <w:sz w:val="24"/>
        </w:rPr>
        <w:object>
          <v:shape id="_x0000_i1071" o:spt="75" type="#_x0000_t75" style="height:34.65pt;width:94.8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DSMT4" ShapeID="_x0000_i1071" DrawAspect="Content" ObjectID="_1468075772" r:id="rId111">
            <o:LockedField>false</o:LockedField>
          </o:OLEObject>
        </w:object>
      </w:r>
    </w:p>
    <w:p>
      <w:pPr>
        <w:spacing w:line="348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则</w:t>
      </w:r>
      <w:r>
        <w:rPr>
          <w:rFonts w:hint="eastAsia" w:ascii="宋体" w:hAnsi="宋体"/>
          <w:position w:val="-18"/>
          <w:sz w:val="24"/>
        </w:rPr>
        <w:object>
          <v:shape id="_x0000_i1072" o:spt="75" type="#_x0000_t75" style="height:24.5pt;width:100.1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3" ShapeID="_x0000_i1072" DrawAspect="Content" ObjectID="_1468075773" r:id="rId112">
            <o:LockedField>false</o:LockedField>
          </o:OLEObject>
        </w:object>
      </w:r>
    </w:p>
    <w:p>
      <w:pPr>
        <w:spacing w:line="348" w:lineRule="auto"/>
        <w:rPr>
          <w:rFonts w:hint="eastAsia"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  <w:lang w:val="en-US" w:eastAsia="zh-CN"/>
        </w:rPr>
        <w:t>E</w:t>
      </w:r>
      <w:r>
        <w:rPr>
          <w:rFonts w:hint="eastAsia" w:ascii="黑体" w:hAnsi="黑体" w:eastAsia="黑体" w:cs="黑体"/>
          <w:sz w:val="24"/>
        </w:rPr>
        <w:t>.4 不确定度来源分析</w:t>
      </w:r>
    </w:p>
    <w:p>
      <w:pPr>
        <w:spacing w:line="348" w:lineRule="auto"/>
        <w:jc w:val="center"/>
        <w:rPr>
          <w:rFonts w:hint="eastAsia" w:ascii="黑体" w:hAnsi="黑体" w:eastAsia="黑体" w:cs="黑体"/>
          <w:sz w:val="21"/>
          <w:szCs w:val="21"/>
        </w:rPr>
      </w:pPr>
      <w:r>
        <w:rPr>
          <w:rFonts w:hint="eastAsia" w:ascii="黑体" w:hAnsi="黑体" w:eastAsia="黑体" w:cs="黑体"/>
          <w:sz w:val="21"/>
          <w:szCs w:val="21"/>
        </w:rPr>
        <w:t>表</w:t>
      </w:r>
      <w:r>
        <w:rPr>
          <w:rFonts w:hint="eastAsia" w:ascii="黑体" w:hAnsi="黑体" w:eastAsia="黑体" w:cs="黑体"/>
          <w:sz w:val="21"/>
          <w:szCs w:val="21"/>
          <w:lang w:val="en-US" w:eastAsia="zh-CN"/>
        </w:rPr>
        <w:t>E</w:t>
      </w:r>
      <w:r>
        <w:rPr>
          <w:rFonts w:hint="eastAsia" w:ascii="黑体" w:hAnsi="黑体" w:eastAsia="黑体" w:cs="黑体"/>
          <w:sz w:val="21"/>
          <w:szCs w:val="21"/>
        </w:rPr>
        <w:t>1不确定度来源分析</w:t>
      </w:r>
    </w:p>
    <w:tbl>
      <w:tblPr>
        <w:tblStyle w:val="28"/>
        <w:tblW w:w="827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2419"/>
        <w:gridCol w:w="3021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5" w:type="dxa"/>
            <w:vAlign w:val="center"/>
          </w:tcPr>
          <w:p>
            <w:pPr>
              <w:spacing w:line="34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2419" w:type="dxa"/>
            <w:vAlign w:val="center"/>
          </w:tcPr>
          <w:p>
            <w:pPr>
              <w:spacing w:line="34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不确定度来源</w:t>
            </w:r>
          </w:p>
        </w:tc>
        <w:tc>
          <w:tcPr>
            <w:tcW w:w="3021" w:type="dxa"/>
            <w:vAlign w:val="center"/>
          </w:tcPr>
          <w:p>
            <w:pPr>
              <w:spacing w:line="34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分量描述</w:t>
            </w:r>
          </w:p>
        </w:tc>
        <w:tc>
          <w:tcPr>
            <w:tcW w:w="2025" w:type="dxa"/>
            <w:vAlign w:val="center"/>
          </w:tcPr>
          <w:p>
            <w:pPr>
              <w:spacing w:line="34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标准不确定度符号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5" w:type="dxa"/>
            <w:vAlign w:val="center"/>
          </w:tcPr>
          <w:p>
            <w:pPr>
              <w:spacing w:line="34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2419" w:type="dxa"/>
            <w:vAlign w:val="center"/>
          </w:tcPr>
          <w:p>
            <w:pPr>
              <w:spacing w:line="34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标准值不确定度</w:t>
            </w:r>
          </w:p>
        </w:tc>
        <w:tc>
          <w:tcPr>
            <w:tcW w:w="3021" w:type="dxa"/>
            <w:vAlign w:val="center"/>
          </w:tcPr>
          <w:p>
            <w:pPr>
              <w:spacing w:line="34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标准物质引入的分量</w:t>
            </w:r>
          </w:p>
        </w:tc>
        <w:tc>
          <w:tcPr>
            <w:tcW w:w="2025" w:type="dxa"/>
            <w:vAlign w:val="center"/>
          </w:tcPr>
          <w:p>
            <w:pPr>
              <w:spacing w:line="34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position w:val="-12"/>
                <w:szCs w:val="21"/>
              </w:rPr>
              <w:object>
                <v:shape id="_x0000_i1073" o:spt="75" type="#_x0000_t75" style="height:19pt;width:12.9pt;" o:ole="t" filled="f" o:preferrelative="t" stroked="f" coordsize="21600,21600">
                  <v:path/>
                  <v:fill on="f" focussize="0,0"/>
                  <v:stroke on="f" joinstyle="miter"/>
                  <v:imagedata r:id="rId61" o:title=""/>
                  <o:lock v:ext="edit" aspectratio="t"/>
                  <w10:wrap type="none"/>
                  <w10:anchorlock/>
                </v:shape>
                <o:OLEObject Type="Embed" ProgID="Equation.DSMT4" ShapeID="_x0000_i1073" DrawAspect="Content" ObjectID="_1468075774" r:id="rId113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805" w:type="dxa"/>
            <w:vMerge w:val="restart"/>
            <w:vAlign w:val="center"/>
          </w:tcPr>
          <w:p>
            <w:pPr>
              <w:spacing w:line="34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2419" w:type="dxa"/>
            <w:vMerge w:val="restart"/>
            <w:vAlign w:val="center"/>
          </w:tcPr>
          <w:p>
            <w:pPr>
              <w:spacing w:line="34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仪器示值不确定度</w:t>
            </w:r>
          </w:p>
        </w:tc>
        <w:tc>
          <w:tcPr>
            <w:tcW w:w="3021" w:type="dxa"/>
            <w:vAlign w:val="center"/>
          </w:tcPr>
          <w:p>
            <w:pPr>
              <w:spacing w:line="34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示值重复性引入的分量</w:t>
            </w:r>
          </w:p>
        </w:tc>
        <w:tc>
          <w:tcPr>
            <w:tcW w:w="2025" w:type="dxa"/>
            <w:vAlign w:val="center"/>
          </w:tcPr>
          <w:p>
            <w:pPr>
              <w:spacing w:line="34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position w:val="-12"/>
                <w:szCs w:val="21"/>
              </w:rPr>
              <w:object>
                <v:shape id="_x0000_i1074" o:spt="75" type="#_x0000_t75" style="height:19pt;width:12.9pt;" o:ole="t" filled="f" o:preferrelative="t" stroked="f" coordsize="21600,21600">
                  <v:path/>
                  <v:fill on="f" focussize="0,0"/>
                  <v:stroke on="f" joinstyle="miter"/>
                  <v:imagedata r:id="rId63" o:title=""/>
                  <o:lock v:ext="edit" aspectratio="t"/>
                  <w10:wrap type="none"/>
                  <w10:anchorlock/>
                </v:shape>
                <o:OLEObject Type="Embed" ProgID="Equation.DSMT4" ShapeID="_x0000_i1074" DrawAspect="Content" ObjectID="_1468075775" r:id="rId114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05" w:type="dxa"/>
            <w:vMerge w:val="continue"/>
            <w:vAlign w:val="center"/>
          </w:tcPr>
          <w:p>
            <w:pPr>
              <w:spacing w:line="348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9" w:type="dxa"/>
            <w:vMerge w:val="continue"/>
            <w:vAlign w:val="center"/>
          </w:tcPr>
          <w:p>
            <w:pPr>
              <w:spacing w:line="348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21" w:type="dxa"/>
            <w:vAlign w:val="center"/>
          </w:tcPr>
          <w:p>
            <w:pPr>
              <w:spacing w:line="348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天平称量</w:t>
            </w:r>
            <w:r>
              <w:rPr>
                <w:rFonts w:hint="eastAsia" w:ascii="宋体" w:hAnsi="宋体"/>
                <w:szCs w:val="21"/>
              </w:rPr>
              <w:t>引入的分量</w:t>
            </w:r>
          </w:p>
        </w:tc>
        <w:tc>
          <w:tcPr>
            <w:tcW w:w="2025" w:type="dxa"/>
            <w:vAlign w:val="center"/>
          </w:tcPr>
          <w:p>
            <w:pPr>
              <w:spacing w:line="348" w:lineRule="auto"/>
              <w:jc w:val="center"/>
              <w:rPr>
                <w:rFonts w:ascii="宋体" w:hAnsi="宋体"/>
                <w:position w:val="-12"/>
                <w:szCs w:val="21"/>
              </w:rPr>
            </w:pPr>
            <w:r>
              <w:rPr>
                <w:rFonts w:hint="eastAsia" w:ascii="宋体" w:hAnsi="宋体"/>
                <w:position w:val="-10"/>
                <w:szCs w:val="21"/>
              </w:rPr>
              <w:object>
                <v:shape id="_x0000_i1075" o:spt="75" type="#_x0000_t75" style="height:17.65pt;width:12.9pt;" o:ole="t" filled="f" o:preferrelative="t" stroked="f" coordsize="21600,21600">
                  <v:path/>
                  <v:fill on="f" focussize="0,0"/>
                  <v:stroke on="f" joinstyle="miter"/>
                  <v:imagedata r:id="rId65" o:title=""/>
                  <o:lock v:ext="edit" aspectratio="t"/>
                  <w10:wrap type="none"/>
                  <w10:anchorlock/>
                </v:shape>
                <o:OLEObject Type="Embed" ProgID="Equation.3" ShapeID="_x0000_i1075" DrawAspect="Content" ObjectID="_1468075776" r:id="rId115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05" w:type="dxa"/>
            <w:vAlign w:val="center"/>
          </w:tcPr>
          <w:p>
            <w:pPr>
              <w:spacing w:line="348" w:lineRule="auto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</w:p>
        </w:tc>
        <w:tc>
          <w:tcPr>
            <w:tcW w:w="2419" w:type="dxa"/>
            <w:vAlign w:val="center"/>
          </w:tcPr>
          <w:p>
            <w:pPr>
              <w:spacing w:line="348" w:lineRule="auto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干基换算不确定度</w:t>
            </w:r>
          </w:p>
        </w:tc>
        <w:tc>
          <w:tcPr>
            <w:tcW w:w="3021" w:type="dxa"/>
            <w:vAlign w:val="center"/>
          </w:tcPr>
          <w:p>
            <w:pPr>
              <w:spacing w:line="348" w:lineRule="auto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标准物质水分测定引入的分量</w:t>
            </w:r>
          </w:p>
        </w:tc>
        <w:tc>
          <w:tcPr>
            <w:tcW w:w="2025" w:type="dxa"/>
            <w:vAlign w:val="center"/>
          </w:tcPr>
          <w:p>
            <w:pPr>
              <w:spacing w:line="348" w:lineRule="auto"/>
              <w:jc w:val="center"/>
              <w:rPr>
                <w:rFonts w:hint="eastAsia" w:ascii="宋体" w:hAnsi="宋体"/>
                <w:position w:val="-10"/>
                <w:szCs w:val="21"/>
              </w:rPr>
            </w:pPr>
            <w:r>
              <w:rPr>
                <w:rFonts w:hint="eastAsia" w:ascii="宋体" w:hAnsi="宋体"/>
                <w:position w:val="-12"/>
                <w:szCs w:val="21"/>
              </w:rPr>
              <w:object>
                <v:shape id="_x0000_i1076" o:spt="75" type="#_x0000_t75" style="height:17.65pt;width:12.9pt;" o:ole="t" filled="f" o:preferrelative="t" stroked="f" coordsize="21600,21600">
                  <v:path/>
                  <v:fill on="f" focussize="0,0"/>
                  <v:stroke on="f"/>
                  <v:imagedata r:id="rId67" o:title=""/>
                  <o:lock v:ext="edit" aspectratio="t"/>
                  <w10:wrap type="none"/>
                  <w10:anchorlock/>
                </v:shape>
                <o:OLEObject Type="Embed" ProgID="Equation.3" ShapeID="_x0000_i1076" DrawAspect="Content" ObjectID="_1468075777" r:id="rId116">
                  <o:LockedField>false</o:LockedField>
                </o:OLEObject>
              </w:object>
            </w:r>
          </w:p>
        </w:tc>
      </w:tr>
    </w:tbl>
    <w:p>
      <w:pPr>
        <w:spacing w:line="348" w:lineRule="auto"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E</w:t>
      </w:r>
      <w:r>
        <w:rPr>
          <w:rFonts w:hint="eastAsia" w:ascii="宋体" w:hAnsi="宋体"/>
          <w:sz w:val="24"/>
        </w:rPr>
        <w:t>.</w:t>
      </w:r>
      <w:r>
        <w:rPr>
          <w:rFonts w:hint="eastAsia" w:ascii="宋体" w:hAnsi="宋体"/>
          <w:sz w:val="24"/>
          <w:lang w:val="en-US" w:eastAsia="zh-CN"/>
        </w:rPr>
        <w:t>4</w:t>
      </w:r>
      <w:r>
        <w:rPr>
          <w:rFonts w:hint="eastAsia" w:ascii="宋体" w:hAnsi="宋体"/>
          <w:sz w:val="24"/>
        </w:rPr>
        <w:t>.1标准物质引入的不确定度分量</w:t>
      </w:r>
      <w:r>
        <w:rPr>
          <w:rFonts w:hint="eastAsia" w:ascii="宋体" w:hAnsi="宋体"/>
          <w:position w:val="-10"/>
          <w:sz w:val="24"/>
        </w:rPr>
        <w:object>
          <v:shape id="_x0000_i1077" o:spt="75" type="#_x0000_t75" style="height:17pt;width:12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077" DrawAspect="Content" ObjectID="_1468075778" r:id="rId117">
            <o:LockedField>false</o:LockedField>
          </o:OLEObject>
        </w:object>
      </w:r>
    </w:p>
    <w:p>
      <w:pPr>
        <w:spacing w:line="348" w:lineRule="auto"/>
        <w:ind w:firstLine="480" w:firstLineChars="200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</w:rPr>
        <w:t>标准物质证书上可查到标准值的不确定度，以</w:t>
      </w:r>
      <w:r>
        <w:rPr>
          <w:rFonts w:hint="eastAsia" w:ascii="宋体" w:hAnsi="宋体" w:eastAsia="宋体" w:cs="宋体"/>
          <w:sz w:val="24"/>
          <w:lang w:eastAsia="zh-CN"/>
        </w:rPr>
        <w:t>煤中氯成分</w:t>
      </w:r>
      <w:r>
        <w:rPr>
          <w:rFonts w:hint="eastAsia" w:ascii="宋体" w:hAnsi="宋体" w:eastAsia="宋体" w:cs="宋体"/>
          <w:sz w:val="24"/>
        </w:rPr>
        <w:t>标准物质GBW1</w:t>
      </w:r>
      <w:r>
        <w:rPr>
          <w:rFonts w:hint="eastAsia" w:ascii="宋体" w:hAnsi="宋体" w:eastAsia="宋体" w:cs="宋体"/>
          <w:sz w:val="24"/>
          <w:lang w:val="en-US" w:eastAsia="zh-CN"/>
        </w:rPr>
        <w:t>1118</w:t>
      </w:r>
      <w:r>
        <w:rPr>
          <w:rFonts w:hint="eastAsia" w:ascii="宋体" w:hAnsi="宋体" w:eastAsia="宋体" w:cs="宋体"/>
          <w:sz w:val="24"/>
        </w:rPr>
        <w:t>为例（</w:t>
      </w:r>
      <w:r>
        <w:rPr>
          <w:rFonts w:hint="eastAsia" w:ascii="宋体" w:hAnsi="宋体" w:eastAsia="宋体" w:cs="宋体"/>
          <w:i/>
          <w:iCs/>
          <w:sz w:val="24"/>
        </w:rPr>
        <w:t>U</w:t>
      </w:r>
      <w:r>
        <w:rPr>
          <w:rFonts w:hint="eastAsia" w:ascii="宋体" w:hAnsi="宋体" w:eastAsia="宋体" w:cs="宋体"/>
          <w:sz w:val="24"/>
        </w:rPr>
        <w:t>=</w:t>
      </w:r>
      <w:r>
        <w:rPr>
          <w:rFonts w:hint="eastAsia" w:ascii="宋体" w:hAnsi="宋体" w:eastAsia="宋体" w:cs="宋体"/>
          <w:sz w:val="24"/>
          <w:lang w:val="en-US" w:eastAsia="zh-CN"/>
        </w:rPr>
        <w:t>0.002%</w:t>
      </w:r>
      <w:r>
        <w:rPr>
          <w:rFonts w:hint="eastAsia" w:ascii="宋体" w:hAnsi="宋体" w:eastAsia="宋体" w:cs="宋体"/>
          <w:sz w:val="24"/>
        </w:rPr>
        <w:t>，</w:t>
      </w:r>
      <w:r>
        <w:rPr>
          <w:rFonts w:hint="eastAsia" w:ascii="宋体" w:hAnsi="宋体" w:eastAsia="宋体" w:cs="宋体"/>
          <w:i/>
          <w:sz w:val="24"/>
        </w:rPr>
        <w:t>k</w:t>
      </w:r>
      <w:r>
        <w:rPr>
          <w:rFonts w:hint="eastAsia" w:ascii="宋体" w:hAnsi="宋体" w:eastAsia="宋体" w:cs="宋体"/>
          <w:sz w:val="24"/>
        </w:rPr>
        <w:t>=2），则</w:t>
      </w:r>
      <w:r>
        <w:rPr>
          <w:rFonts w:hint="eastAsia" w:ascii="宋体" w:hAnsi="宋体" w:cs="宋体"/>
          <w:sz w:val="24"/>
          <w:lang w:eastAsia="zh-CN"/>
        </w:rPr>
        <w:t>：</w:t>
      </w:r>
    </w:p>
    <w:p>
      <w:pPr>
        <w:tabs>
          <w:tab w:val="center" w:pos="4153"/>
        </w:tabs>
        <w:spacing w:line="440" w:lineRule="exact"/>
        <w:ind w:firstLine="1440" w:firstLineChars="6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position w:val="-24"/>
          <w:sz w:val="24"/>
        </w:rPr>
        <w:pict>
          <v:shape id="_x0000_s1104" o:spid="_x0000_s1104" o:spt="75" type="#_x0000_t75" style="position:absolute;left:0pt;margin-left:84pt;margin-top:-1.65pt;height:31.25pt;width:134.7pt;z-index:251661312;mso-width-relative:page;mso-height-relative:page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</v:shape>
          <o:OLEObject Type="Embed" ProgID="Equation.3" ShapeID="_x0000_s1104" DrawAspect="Content" ObjectID="_1468075779" r:id="rId119">
            <o:LockedField>false</o:LockedField>
          </o:OLEObject>
        </w:pict>
      </w:r>
      <w:r>
        <w:rPr>
          <w:rFonts w:hint="eastAsia" w:ascii="宋体" w:hAnsi="宋体"/>
          <w:sz w:val="24"/>
          <w:lang w:val="en-US" w:eastAsia="zh-CN"/>
        </w:rPr>
        <w:t xml:space="preserve"> </w:t>
      </w:r>
      <w:r>
        <w:rPr>
          <w:rFonts w:hint="eastAsia" w:ascii="宋体" w:hAnsi="宋体"/>
          <w:sz w:val="24"/>
          <w:lang w:eastAsia="zh-CN"/>
        </w:rPr>
        <w:tab/>
      </w:r>
      <w:r>
        <w:rPr>
          <w:rFonts w:hint="eastAsia" w:ascii="宋体" w:hAnsi="宋体" w:eastAsia="宋体" w:cs="宋体"/>
          <w:position w:val="-18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 xml:space="preserve"> 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E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>
      <w:pPr>
        <w:spacing w:line="440" w:lineRule="exact"/>
        <w:rPr>
          <w:rFonts w:hint="eastAsia" w:ascii="宋体" w:hAnsi="宋体"/>
          <w:sz w:val="24"/>
        </w:rPr>
      </w:pPr>
    </w:p>
    <w:p>
      <w:pPr>
        <w:spacing w:line="348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E</w:t>
      </w:r>
      <w:r>
        <w:rPr>
          <w:rFonts w:hint="eastAsia" w:ascii="宋体" w:hAnsi="宋体"/>
          <w:sz w:val="24"/>
        </w:rPr>
        <w:t>.</w:t>
      </w:r>
      <w:r>
        <w:rPr>
          <w:rFonts w:hint="eastAsia" w:ascii="宋体" w:hAnsi="宋体"/>
          <w:sz w:val="24"/>
          <w:lang w:val="en-US" w:eastAsia="zh-CN"/>
        </w:rPr>
        <w:t>4</w:t>
      </w:r>
      <w:r>
        <w:rPr>
          <w:rFonts w:hint="eastAsia" w:ascii="宋体" w:hAnsi="宋体"/>
          <w:sz w:val="24"/>
        </w:rPr>
        <w:t>.2 示值重复性引入的不确定度分量</w:t>
      </w:r>
      <w:r>
        <w:rPr>
          <w:rFonts w:hint="eastAsia" w:ascii="宋体" w:hAnsi="宋体"/>
          <w:position w:val="-12"/>
          <w:sz w:val="24"/>
        </w:rPr>
        <w:object>
          <v:shape id="_x0000_i1078" o:spt="75" type="#_x0000_t75" style="height:17.65pt;width:12.9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3" ShapeID="_x0000_i1078" DrawAspect="Content" ObjectID="_1468075780" r:id="rId121">
            <o:LockedField>false</o:LockedField>
          </o:OLEObject>
        </w:object>
      </w:r>
    </w:p>
    <w:p>
      <w:pPr>
        <w:spacing w:line="440" w:lineRule="exact"/>
        <w:ind w:firstLine="480" w:firstLineChars="200"/>
        <w:rPr>
          <w:rFonts w:ascii="Calibri" w:hAnsi="Calibri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由于校准时要求重复测量</w:t>
      </w:r>
      <w:r>
        <w:rPr>
          <w:rFonts w:hint="eastAsia" w:ascii="宋体" w:hAnsi="宋体"/>
          <w:sz w:val="24"/>
          <w:szCs w:val="24"/>
          <w:lang w:val="en-US" w:eastAsia="zh-CN"/>
        </w:rPr>
        <w:t>6</w:t>
      </w:r>
      <w:r>
        <w:rPr>
          <w:rFonts w:hint="eastAsia" w:ascii="宋体" w:hAnsi="宋体"/>
          <w:sz w:val="24"/>
          <w:szCs w:val="24"/>
        </w:rPr>
        <w:t>次</w:t>
      </w:r>
      <w:r>
        <w:rPr>
          <w:rFonts w:hint="eastAsia" w:ascii="Calibri" w:hAnsi="Calibri"/>
          <w:sz w:val="24"/>
          <w:szCs w:val="24"/>
        </w:rPr>
        <w:t>，</w:t>
      </w:r>
      <w:r>
        <w:rPr>
          <w:rFonts w:hint="eastAsia" w:ascii="宋体" w:hAnsi="宋体"/>
          <w:sz w:val="24"/>
          <w:szCs w:val="24"/>
        </w:rPr>
        <w:t>其测量值如表</w:t>
      </w:r>
      <w:r>
        <w:rPr>
          <w:rFonts w:hint="eastAsia" w:ascii="宋体" w:hAnsi="宋体"/>
          <w:sz w:val="24"/>
          <w:szCs w:val="24"/>
          <w:lang w:val="en-US" w:eastAsia="zh-CN"/>
        </w:rPr>
        <w:t>E2</w:t>
      </w:r>
      <w:r>
        <w:rPr>
          <w:rFonts w:hint="eastAsia" w:ascii="宋体" w:hAnsi="宋体"/>
          <w:sz w:val="24"/>
          <w:szCs w:val="24"/>
        </w:rPr>
        <w:t>所示。</w:t>
      </w:r>
    </w:p>
    <w:p>
      <w:pPr>
        <w:jc w:val="center"/>
        <w:rPr>
          <w:rFonts w:hint="eastAsia" w:ascii="黑体" w:hAnsi="黑体" w:eastAsia="黑体" w:cs="黑体"/>
          <w:szCs w:val="24"/>
        </w:rPr>
      </w:pPr>
      <w:r>
        <w:rPr>
          <w:rFonts w:hint="eastAsia" w:ascii="黑体" w:hAnsi="黑体" w:eastAsia="黑体" w:cs="黑体"/>
        </w:rPr>
        <w:t>表</w:t>
      </w:r>
      <w:r>
        <w:rPr>
          <w:rFonts w:hint="eastAsia" w:ascii="黑体" w:hAnsi="黑体" w:eastAsia="黑体" w:cs="黑体"/>
          <w:lang w:val="en-US" w:eastAsia="zh-CN"/>
        </w:rPr>
        <w:t>E</w:t>
      </w:r>
      <w:r>
        <w:rPr>
          <w:rFonts w:hint="eastAsia" w:ascii="黑体" w:hAnsi="黑体" w:eastAsia="黑体" w:cs="黑体"/>
        </w:rPr>
        <w:t>1重复性实验数据</w:t>
      </w:r>
    </w:p>
    <w:tbl>
      <w:tblPr>
        <w:tblStyle w:val="29"/>
        <w:tblW w:w="568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>
            <w:pPr>
              <w:spacing w:line="440" w:lineRule="exact"/>
              <w:ind w:firstLine="300" w:firstLineChars="200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序号</w:t>
            </w:r>
          </w:p>
        </w:tc>
        <w:tc>
          <w:tcPr>
            <w:tcW w:w="2841" w:type="dxa"/>
          </w:tcPr>
          <w:p>
            <w:pPr>
              <w:spacing w:line="440" w:lineRule="exact"/>
              <w:ind w:firstLine="300" w:firstLineChars="200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cs="宋体"/>
                <w:sz w:val="15"/>
                <w:szCs w:val="15"/>
                <w:lang w:eastAsia="zh-CN"/>
              </w:rPr>
              <w:t>氯</w:t>
            </w:r>
            <w:r>
              <w:rPr>
                <w:rFonts w:hint="eastAsia" w:ascii="宋体" w:hAnsi="宋体" w:eastAsia="宋体" w:cs="宋体"/>
                <w:sz w:val="15"/>
                <w:szCs w:val="15"/>
              </w:rPr>
              <w:t>含量</w:t>
            </w:r>
            <w:r>
              <w:rPr>
                <w:rFonts w:hint="eastAsia" w:ascii="宋体" w:hAnsi="宋体" w:eastAsia="宋体" w:cs="宋体"/>
                <w:position w:val="-12"/>
                <w:sz w:val="15"/>
                <w:szCs w:val="15"/>
              </w:rPr>
              <w:object>
                <v:shape id="_x0000_i1079" o:spt="75" type="#_x0000_t75" style="height:18pt;width:22.75pt;" o:ole="t" filled="f" o:preferrelative="t" stroked="f" coordsize="21600,21600">
                  <v:path/>
                  <v:fill on="f" focussize="0,0"/>
                  <v:stroke on="f"/>
                  <v:imagedata r:id="rId123" o:title=""/>
                  <o:lock v:ext="edit" aspectratio="t"/>
                  <w10:wrap type="none"/>
                  <w10:anchorlock/>
                </v:shape>
                <o:OLEObject Type="Embed" ProgID="Equation.3" ShapeID="_x0000_i1079" DrawAspect="Content" ObjectID="_1468075781" r:id="rId122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sz w:val="15"/>
                <w:szCs w:val="15"/>
              </w:rPr>
              <w:t>（</w:t>
            </w:r>
            <w:r>
              <w:rPr>
                <w:rFonts w:hint="eastAsia" w:ascii="宋体" w:hAnsi="宋体" w:eastAsia="宋体" w:cs="宋体"/>
                <w:position w:val="-6"/>
                <w:sz w:val="15"/>
                <w:szCs w:val="15"/>
              </w:rPr>
              <w:object>
                <v:shape id="_x0000_i1080" o:spt="75" type="#_x0000_t75" style="height:13.75pt;width:13.85pt;" o:ole="t" filled="f" o:preferrelative="t" stroked="f" coordsize="21600,21600">
                  <v:path/>
                  <v:fill on="f" focussize="0,0"/>
                  <v:stroke on="f"/>
                  <v:imagedata r:id="rId125" o:title=""/>
                  <o:lock v:ext="edit" aspectratio="t"/>
                  <w10:wrap type="none"/>
                  <w10:anchorlock/>
                </v:shape>
                <o:OLEObject Type="Embed" ProgID="Equation.3" ShapeID="_x0000_i1080" DrawAspect="Content" ObjectID="_1468075782" r:id="rId124">
                  <o:LockedField>false</o:LockedField>
                </o:OLEObject>
              </w:object>
            </w:r>
            <w:r>
              <w:rPr>
                <w:rFonts w:hint="eastAsia" w:ascii="宋体" w:hAnsi="宋体" w:eastAsia="宋体" w:cs="宋体"/>
                <w:sz w:val="15"/>
                <w:szCs w:val="15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>
            <w:pPr>
              <w:spacing w:line="440" w:lineRule="exact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284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>
            <w:pPr>
              <w:spacing w:line="440" w:lineRule="exact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284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>
            <w:pPr>
              <w:spacing w:line="440" w:lineRule="exact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284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>
            <w:pPr>
              <w:spacing w:line="440" w:lineRule="exact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284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>
            <w:pPr>
              <w:spacing w:line="440" w:lineRule="exact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284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0.01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>
            <w:pPr>
              <w:spacing w:line="440" w:lineRule="exact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6</w:t>
            </w:r>
          </w:p>
        </w:tc>
        <w:tc>
          <w:tcPr>
            <w:tcW w:w="284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</w:tcPr>
          <w:p>
            <w:pPr>
              <w:spacing w:line="440" w:lineRule="exact"/>
              <w:ind w:firstLine="210" w:firstLineChars="1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平均值</w:t>
            </w:r>
          </w:p>
        </w:tc>
        <w:tc>
          <w:tcPr>
            <w:tcW w:w="2841" w:type="dxa"/>
          </w:tcPr>
          <w:p>
            <w:pPr>
              <w:spacing w:line="440" w:lineRule="exact"/>
              <w:ind w:firstLine="1050" w:firstLineChars="50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1"/>
                <w:szCs w:val="21"/>
                <w:lang w:val="en-US" w:eastAsia="zh-CN"/>
              </w:rPr>
              <w:t>0.0127</w:t>
            </w:r>
          </w:p>
        </w:tc>
      </w:tr>
    </w:tbl>
    <w:p>
      <w:pPr>
        <w:spacing w:line="440" w:lineRule="exact"/>
        <w:ind w:firstLine="420" w:firstLineChars="200"/>
        <w:rPr>
          <w:rFonts w:ascii="Calibri" w:hAnsi="Calibri"/>
          <w:szCs w:val="24"/>
        </w:rPr>
      </w:pPr>
      <w:r>
        <w:rPr>
          <w:rFonts w:hint="eastAsia" w:ascii="Calibri" w:hAnsi="Calibri"/>
          <w:szCs w:val="24"/>
        </w:rPr>
        <w:t>重复性的标准不确定度计算，如下：</w:t>
      </w:r>
    </w:p>
    <w:p>
      <w:pPr>
        <w:tabs>
          <w:tab w:val="left" w:pos="6315"/>
        </w:tabs>
        <w:spacing w:line="360" w:lineRule="auto"/>
        <w:ind w:firstLine="2520" w:firstLineChars="900"/>
        <w:jc w:val="left"/>
        <w:rPr>
          <w:rFonts w:hint="eastAsia" w:eastAsia="黑体"/>
          <w:sz w:val="28"/>
          <w:szCs w:val="28"/>
        </w:rPr>
      </w:pPr>
      <w:r>
        <w:rPr>
          <w:rFonts w:hint="eastAsia" w:eastAsia="黑体"/>
          <w:position w:val="-30"/>
          <w:sz w:val="28"/>
          <w:szCs w:val="28"/>
        </w:rPr>
        <w:object>
          <v:shape id="_x0000_i1081" o:spt="75" type="#_x0000_t75" style="height:42.95pt;width:217.9pt;" o:ole="t" filled="f" o:preferrelative="t" stroked="f" coordsize="21600,21600">
            <v:path/>
            <v:fill on="f" focussize="0,0"/>
            <v:stroke on="f"/>
            <v:imagedata r:id="rId127" o:title=""/>
            <o:lock v:ext="edit" aspectratio="t"/>
            <w10:wrap type="none"/>
            <w10:anchorlock/>
          </v:shape>
          <o:OLEObject Type="Embed" ProgID="Equation.3" ShapeID="_x0000_i1081" DrawAspect="Content" ObjectID="_1468075783" r:id="rId126">
            <o:LockedField>false</o:LockedField>
          </o:OLEObject>
        </w:object>
      </w:r>
      <w:r>
        <w:rPr>
          <w:rFonts w:hint="eastAsia" w:eastAsia="黑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position w:val="-18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 xml:space="preserve">  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E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eastAsia="黑体"/>
          <w:sz w:val="28"/>
          <w:szCs w:val="28"/>
        </w:rPr>
        <w:t xml:space="preserve">      </w:t>
      </w:r>
    </w:p>
    <w:p>
      <w:pPr>
        <w:spacing w:line="348" w:lineRule="auto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E</w:t>
      </w:r>
      <w:r>
        <w:rPr>
          <w:rFonts w:hint="eastAsia" w:ascii="宋体" w:hAnsi="宋体"/>
          <w:sz w:val="24"/>
        </w:rPr>
        <w:t>.</w:t>
      </w:r>
      <w:r>
        <w:rPr>
          <w:rFonts w:hint="eastAsia" w:ascii="宋体" w:hAnsi="宋体"/>
          <w:sz w:val="24"/>
          <w:lang w:val="en-US" w:eastAsia="zh-CN"/>
        </w:rPr>
        <w:t>4</w:t>
      </w:r>
      <w:r>
        <w:rPr>
          <w:rFonts w:hint="eastAsia" w:ascii="宋体" w:hAnsi="宋体"/>
          <w:sz w:val="24"/>
        </w:rPr>
        <w:t xml:space="preserve">.3 </w:t>
      </w:r>
      <w:r>
        <w:rPr>
          <w:rFonts w:hint="eastAsia" w:ascii="宋体" w:hAnsi="宋体"/>
          <w:sz w:val="24"/>
          <w:lang w:eastAsia="zh-CN"/>
        </w:rPr>
        <w:t>样品称量</w:t>
      </w:r>
      <w:r>
        <w:rPr>
          <w:rFonts w:hint="eastAsia" w:ascii="宋体" w:hAnsi="宋体"/>
          <w:sz w:val="24"/>
        </w:rPr>
        <w:t>引入的不确定度分量</w:t>
      </w:r>
      <w:r>
        <w:rPr>
          <w:rFonts w:hint="eastAsia" w:ascii="宋体" w:hAnsi="宋体"/>
          <w:position w:val="-12"/>
          <w:sz w:val="24"/>
        </w:rPr>
        <w:object>
          <v:shape id="_x0000_i1082" o:spt="75" type="#_x0000_t75" style="height:19pt;width:12.9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3" ShapeID="_x0000_i1082" DrawAspect="Content" ObjectID="_1468075784" r:id="rId128">
            <o:LockedField>false</o:LockedField>
          </o:OLEObject>
        </w:object>
      </w:r>
    </w:p>
    <w:p>
      <w:pPr>
        <w:spacing w:line="348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szCs w:val="22"/>
          <w:lang w:eastAsia="zh-CN"/>
        </w:rPr>
        <w:t>由所用天平的不确定度和天平的变动性合成而得，用分度为</w:t>
      </w:r>
      <w:r>
        <w:rPr>
          <w:rFonts w:hint="eastAsia" w:ascii="宋体" w:hAnsi="宋体"/>
          <w:sz w:val="24"/>
          <w:szCs w:val="22"/>
          <w:lang w:val="en-US" w:eastAsia="zh-CN"/>
        </w:rPr>
        <w:t>0.1mg的分析天平称量0.5g样品，天平检定的不确定度为0.2mg，</w:t>
      </w:r>
      <w:r>
        <w:rPr>
          <w:rFonts w:hint="eastAsia" w:ascii="宋体" w:hAnsi="宋体"/>
          <w:i/>
          <w:iCs/>
          <w:sz w:val="24"/>
          <w:szCs w:val="22"/>
          <w:lang w:val="en-US" w:eastAsia="zh-CN"/>
        </w:rPr>
        <w:t>k</w:t>
      </w:r>
      <w:r>
        <w:rPr>
          <w:rFonts w:hint="eastAsia" w:ascii="宋体" w:hAnsi="宋体"/>
          <w:sz w:val="24"/>
          <w:szCs w:val="22"/>
          <w:lang w:val="en-US" w:eastAsia="zh-CN"/>
        </w:rPr>
        <w:t>=2,天平的变动性为0.2mg,所以：</w:t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</w:p>
    <w:p>
      <w:pPr>
        <w:spacing w:line="348" w:lineRule="auto"/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 xml:space="preserve">    </w:t>
      </w:r>
      <w:r>
        <w:rPr>
          <w:rFonts w:hint="eastAsia" w:ascii="宋体" w:hAnsi="宋体"/>
          <w:position w:val="-24"/>
          <w:sz w:val="24"/>
        </w:rPr>
        <w:object>
          <v:shape id="_x0000_i1083" o:spt="75" type="#_x0000_t75" style="height:47.95pt;width:283.95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3" ShapeID="_x0000_i1083" DrawAspect="Content" ObjectID="_1468075785" r:id="rId129">
            <o:LockedField>false</o:LockedField>
          </o:OLEObject>
        </w:object>
      </w:r>
      <w:r>
        <w:rPr>
          <w:rFonts w:hint="eastAsia" w:ascii="宋体" w:hAnsi="宋体" w:eastAsia="宋体" w:cs="宋体"/>
          <w:position w:val="-18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E</w:t>
      </w:r>
      <w:r>
        <w:rPr>
          <w:rFonts w:hint="eastAsia" w:ascii="宋体" w:hAnsi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>
      <w:pPr>
        <w:spacing w:line="348" w:lineRule="auto"/>
        <w:rPr>
          <w:rFonts w:hint="eastAsia" w:ascii="宋体" w:hAnsi="宋体"/>
          <w:position w:val="-12"/>
          <w:sz w:val="24"/>
        </w:rPr>
      </w:pPr>
      <w:r>
        <w:rPr>
          <w:rFonts w:hint="eastAsia" w:ascii="宋体" w:hAnsi="宋体"/>
          <w:sz w:val="24"/>
          <w:szCs w:val="22"/>
          <w:lang w:val="en-US" w:eastAsia="zh-CN"/>
        </w:rPr>
        <w:t>E.4.4 标准物质水分测定引入的分量</w:t>
      </w:r>
      <w:r>
        <w:rPr>
          <w:rFonts w:hint="eastAsia" w:ascii="宋体" w:hAnsi="宋体"/>
          <w:position w:val="-12"/>
          <w:sz w:val="24"/>
        </w:rPr>
        <w:object>
          <v:shape id="_x0000_i1084" o:spt="75" type="#_x0000_t75" style="height:19pt;width:12.9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3" ShapeID="_x0000_i1084" DrawAspect="Content" ObjectID="_1468075786" r:id="rId13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8" w:lineRule="auto"/>
        <w:ind w:firstLine="480" w:firstLineChars="200"/>
        <w:textAlignment w:val="auto"/>
        <w:outlineLvl w:val="9"/>
        <w:rPr>
          <w:rFonts w:hint="eastAsia" w:ascii="宋体" w:hAnsi="宋体"/>
          <w:position w:val="-12"/>
          <w:sz w:val="24"/>
          <w:vertAlign w:val="baseline"/>
          <w:lang w:val="en-US" w:eastAsia="zh-CN"/>
        </w:rPr>
      </w:pPr>
      <w:r>
        <w:rPr>
          <w:rFonts w:hint="eastAsia" w:ascii="宋体" w:hAnsi="宋体"/>
          <w:sz w:val="24"/>
          <w:lang w:eastAsia="zh-CN"/>
        </w:rPr>
        <w:t>煤中氯成分</w:t>
      </w:r>
      <w:r>
        <w:rPr>
          <w:rFonts w:hint="eastAsia" w:ascii="宋体" w:hAnsi="宋体"/>
          <w:sz w:val="24"/>
        </w:rPr>
        <w:t>标准物质GBW1</w:t>
      </w:r>
      <w:r>
        <w:rPr>
          <w:rFonts w:hint="eastAsia" w:ascii="宋体" w:hAnsi="宋体"/>
          <w:sz w:val="24"/>
          <w:lang w:val="en-US" w:eastAsia="zh-CN"/>
        </w:rPr>
        <w:t>1118采用GB/T 212方法B测定其水分M</w:t>
      </w:r>
      <w:r>
        <w:rPr>
          <w:rFonts w:hint="eastAsia" w:ascii="宋体" w:hAnsi="宋体"/>
          <w:sz w:val="24"/>
          <w:vertAlign w:val="subscript"/>
          <w:lang w:val="en-US" w:eastAsia="zh-CN"/>
        </w:rPr>
        <w:t>ad</w:t>
      </w:r>
      <w:r>
        <w:rPr>
          <w:rFonts w:hint="eastAsia" w:ascii="宋体" w:hAnsi="宋体"/>
          <w:sz w:val="24"/>
          <w:vertAlign w:val="baseline"/>
          <w:lang w:val="en-US" w:eastAsia="zh-CN"/>
        </w:rPr>
        <w:t>为1.20%，查阅水分测定仪不确定评定中，当被测物水分为1.20%，其相对扩展不确定度</w:t>
      </w:r>
      <w:r>
        <w:rPr>
          <w:rFonts w:hint="eastAsia" w:ascii="宋体" w:hAnsi="宋体"/>
          <w:position w:val="-14"/>
          <w:sz w:val="24"/>
        </w:rPr>
        <w:object>
          <v:shape id="_x0000_i1085" o:spt="75" type="#_x0000_t75" style="height:20.1pt;width:24.8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3" ShapeID="_x0000_i1085" DrawAspect="Content" ObjectID="_1468075787" r:id="rId132">
            <o:LockedField>false</o:LockedField>
          </o:OLEObject>
        </w:object>
      </w:r>
      <w:r>
        <w:rPr>
          <w:rFonts w:hint="eastAsia" w:ascii="宋体" w:hAnsi="宋体"/>
          <w:sz w:val="24"/>
          <w:vertAlign w:val="baseline"/>
          <w:lang w:val="en-US" w:eastAsia="zh-CN"/>
        </w:rPr>
        <w:t>为0.12%，</w:t>
      </w:r>
      <w:r>
        <w:rPr>
          <w:rFonts w:hint="eastAsia" w:ascii="宋体" w:hAnsi="宋体"/>
          <w:i/>
          <w:iCs/>
          <w:sz w:val="24"/>
          <w:vertAlign w:val="baseline"/>
          <w:lang w:val="en-US" w:eastAsia="zh-CN"/>
        </w:rPr>
        <w:t>k</w:t>
      </w:r>
      <w:r>
        <w:rPr>
          <w:rFonts w:hint="eastAsia" w:ascii="宋体" w:hAnsi="宋体"/>
          <w:sz w:val="24"/>
          <w:vertAlign w:val="baseline"/>
          <w:lang w:val="en-US" w:eastAsia="zh-CN"/>
        </w:rPr>
        <w:t>=2。空气干燥基换算为空气干燥基的换算公式为（E5）。</w:t>
      </w:r>
    </w:p>
    <w:p>
      <w:pPr>
        <w:spacing w:line="348" w:lineRule="auto"/>
        <w:ind w:firstLine="480" w:firstLineChars="200"/>
        <w:jc w:val="center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position w:val="-30"/>
          <w:sz w:val="24"/>
          <w:lang w:val="en-US" w:eastAsia="zh-CN"/>
        </w:rPr>
        <w:t xml:space="preserve">                          </w:t>
      </w:r>
      <w:r>
        <w:rPr>
          <w:rFonts w:hint="eastAsia" w:ascii="宋体" w:hAnsi="宋体"/>
          <w:position w:val="-30"/>
          <w:sz w:val="24"/>
          <w:lang w:val="en-US" w:eastAsia="zh-CN"/>
        </w:rPr>
        <w:object>
          <v:shape id="_x0000_i1086" o:spt="75" type="#_x0000_t75" style="height:34pt;width:99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86" DrawAspect="Content" ObjectID="_1468075788" r:id="rId133">
            <o:LockedField>false</o:LockedField>
          </o:OLEObject>
        </w:object>
      </w:r>
      <w:r>
        <w:rPr>
          <w:rFonts w:hint="eastAsia" w:ascii="宋体" w:hAnsi="宋体" w:eastAsia="宋体" w:cs="宋体"/>
          <w:position w:val="-18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E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>
      <w:pPr>
        <w:pStyle w:val="40"/>
        <w:snapToGrid/>
        <w:spacing w:line="360" w:lineRule="auto"/>
        <w:ind w:firstLine="480"/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</w:rPr>
        <w:t>式中：</w:t>
      </w:r>
    </w:p>
    <w:p>
      <w:pPr>
        <w:pStyle w:val="40"/>
        <w:snapToGrid/>
        <w:spacing w:line="360" w:lineRule="auto"/>
        <w:ind w:firstLine="480"/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2"/>
          <w:position w:val="-12"/>
          <w:sz w:val="24"/>
          <w:szCs w:val="24"/>
        </w:rPr>
        <w:object>
          <v:shape id="_x0000_i1087" o:spt="75" type="#_x0000_t75" style="height:16.65pt;width:13.4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3" ShapeID="_x0000_i1087" DrawAspect="Content" ObjectID="_1468075789" r:id="rId134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</w:rPr>
        <w:t>-----</w:t>
      </w:r>
      <w:r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  <w:lang w:eastAsia="zh-CN"/>
        </w:rPr>
        <w:t>干基示值</w:t>
      </w:r>
      <w:r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</w:rPr>
        <w:t>；</w:t>
      </w:r>
    </w:p>
    <w:p>
      <w:pPr>
        <w:pStyle w:val="40"/>
        <w:snapToGrid/>
        <w:spacing w:line="360" w:lineRule="auto"/>
        <w:ind w:firstLine="480"/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kern w:val="2"/>
          <w:position w:val="-12"/>
          <w:sz w:val="24"/>
          <w:szCs w:val="24"/>
        </w:rPr>
        <w:object>
          <v:shape id="_x0000_i1088" o:spt="75" type="#_x0000_t75" style="height:18pt;width:17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3" ShapeID="_x0000_i1088" DrawAspect="Content" ObjectID="_1468075790" r:id="rId135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</w:rPr>
        <w:t>-----</w:t>
      </w:r>
      <w:r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  <w:lang w:eastAsia="zh-CN"/>
        </w:rPr>
        <w:t>空干基示值</w:t>
      </w:r>
      <w:r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</w:rPr>
        <w:t>；</w:t>
      </w:r>
    </w:p>
    <w:p>
      <w:pPr>
        <w:spacing w:line="348" w:lineRule="auto"/>
        <w:ind w:firstLine="480" w:firstLineChars="200"/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pacing w:val="0"/>
          <w:kern w:val="2"/>
          <w:position w:val="-12"/>
          <w:sz w:val="24"/>
          <w:szCs w:val="24"/>
        </w:rPr>
        <w:object>
          <v:shape id="_x0000_i1089" o:spt="75" type="#_x0000_t75" style="height:16.65pt;width:23.55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3" ShapeID="_x0000_i1089" DrawAspect="Content" ObjectID="_1468075791" r:id="rId136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</w:rPr>
        <w:t>------</w:t>
      </w:r>
      <w:r>
        <w:rPr>
          <w:rFonts w:hint="eastAsia" w:ascii="宋体" w:hAnsi="宋体" w:eastAsia="宋体" w:cs="宋体"/>
          <w:color w:val="auto"/>
          <w:spacing w:val="0"/>
          <w:kern w:val="2"/>
          <w:sz w:val="24"/>
          <w:szCs w:val="24"/>
          <w:lang w:val="en-US" w:eastAsia="zh-CN" w:bidi="ar-SA"/>
        </w:rPr>
        <w:t>空干基水分</w:t>
      </w:r>
      <w:r>
        <w:rPr>
          <w:rFonts w:hint="eastAsia" w:ascii="宋体" w:hAnsi="宋体" w:cs="宋体"/>
          <w:color w:val="auto"/>
          <w:spacing w:val="0"/>
          <w:kern w:val="2"/>
          <w:sz w:val="24"/>
          <w:szCs w:val="24"/>
          <w:lang w:val="en-US" w:eastAsia="zh-CN" w:bidi="ar-SA"/>
        </w:rPr>
        <w:t>。</w:t>
      </w:r>
    </w:p>
    <w:p>
      <w:pPr>
        <w:spacing w:line="348" w:lineRule="auto"/>
        <w:ind w:firstLine="480" w:firstLineChars="200"/>
        <w:rPr>
          <w:rFonts w:hint="eastAsia" w:ascii="宋体" w:hAnsi="宋体" w:eastAsia="宋体" w:cs="宋体"/>
          <w:position w:val="-12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由于上述可推算由水分测定引入的分量</w:t>
      </w:r>
      <w:r>
        <w:rPr>
          <w:rFonts w:hint="eastAsia" w:ascii="宋体" w:hAnsi="宋体" w:eastAsia="宋体" w:cs="宋体"/>
          <w:position w:val="-12"/>
          <w:sz w:val="24"/>
          <w:szCs w:val="24"/>
        </w:rPr>
        <w:object>
          <v:shape id="_x0000_i1090" o:spt="75" type="#_x0000_t75" style="height:19pt;width:12.9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3" ShapeID="_x0000_i1090" DrawAspect="Content" ObjectID="_1468075792" r:id="rId137">
            <o:LockedField>false</o:LockedField>
          </o:OLEObject>
        </w:object>
      </w:r>
    </w:p>
    <w:p>
      <w:pPr>
        <w:spacing w:line="348" w:lineRule="auto"/>
        <w:ind w:firstLine="480" w:firstLineChars="200"/>
        <w:jc w:val="center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 w:cs="宋体"/>
          <w:position w:val="-14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position w:val="-14"/>
          <w:sz w:val="24"/>
          <w:szCs w:val="24"/>
          <w:lang w:val="en-US" w:eastAsia="zh-CN"/>
        </w:rPr>
        <w:object>
          <v:shape id="_x0000_i1091" o:spt="75" type="#_x0000_t75" style="height:19pt;width:225pt;" o:ole="t" filled="f" o:preferrelative="t" stroked="f" coordsize="21600,21600">
            <v:path/>
            <v:fill on="f" focussize="0,0"/>
            <v:stroke on="f"/>
            <v:imagedata r:id="rId139" o:title=""/>
            <o:lock v:ext="edit" aspectratio="t"/>
            <w10:wrap type="none"/>
            <w10:anchorlock/>
          </v:shape>
          <o:OLEObject Type="Embed" ProgID="Equation.KSEE3" ShapeID="_x0000_i1091" DrawAspect="Content" ObjectID="_1468075793" r:id="rId138">
            <o:LockedField>false</o:LockedField>
          </o:OLEObject>
        </w:object>
      </w:r>
      <w:r>
        <w:rPr>
          <w:rFonts w:hint="eastAsia" w:ascii="宋体" w:hAnsi="宋体" w:eastAsia="宋体" w:cs="宋体"/>
          <w:position w:val="-18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E</w:t>
      </w:r>
      <w:r>
        <w:rPr>
          <w:rFonts w:hint="eastAsia" w:ascii="宋体" w:hAnsi="宋体" w:cs="宋体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>
      <w:pPr>
        <w:spacing w:line="348" w:lineRule="auto"/>
        <w:rPr>
          <w:rFonts w:hint="eastAsia"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  <w:lang w:val="en-US" w:eastAsia="zh-CN"/>
        </w:rPr>
        <w:t>E</w:t>
      </w:r>
      <w:r>
        <w:rPr>
          <w:rFonts w:hint="eastAsia" w:ascii="黑体" w:hAnsi="黑体" w:eastAsia="黑体" w:cs="黑体"/>
          <w:sz w:val="24"/>
        </w:rPr>
        <w:t>.6 合成标准不确定度</w:t>
      </w:r>
    </w:p>
    <w:p>
      <w:pPr>
        <w:spacing w:line="348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  <w:sz w:val="24"/>
          <w:lang w:val="en-US" w:eastAsia="zh-CN"/>
        </w:rPr>
        <w:t xml:space="preserve">          </w:t>
      </w:r>
      <w:r>
        <w:rPr>
          <w:rFonts w:hint="eastAsia" w:ascii="宋体" w:hAnsi="宋体"/>
          <w:position w:val="-30"/>
          <w:sz w:val="24"/>
        </w:rPr>
        <w:object>
          <v:shape id="_x0000_i1092" o:spt="75" type="#_x0000_t75" style="height:38.05pt;width:116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3" ShapeID="_x0000_i1092" DrawAspect="Content" ObjectID="_1468075794" r:id="rId140">
            <o:LockedField>false</o:LockedField>
          </o:OLEObject>
        </w:object>
      </w:r>
      <w:r>
        <w:rPr>
          <w:rFonts w:hint="eastAsia" w:ascii="宋体" w:hAnsi="宋体" w:eastAsia="宋体" w:cs="宋体"/>
          <w:position w:val="-18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E</w:t>
      </w:r>
      <w:r>
        <w:rPr>
          <w:rFonts w:hint="eastAsia" w:ascii="宋体" w:hAnsi="宋体" w:cs="宋体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>
      <w:pPr>
        <w:spacing w:line="348" w:lineRule="auto"/>
        <w:rPr>
          <w:rFonts w:hint="eastAsia"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  <w:lang w:val="en-US" w:eastAsia="zh-CN"/>
        </w:rPr>
        <w:t>E</w:t>
      </w:r>
      <w:r>
        <w:rPr>
          <w:rFonts w:hint="eastAsia" w:ascii="黑体" w:hAnsi="黑体" w:eastAsia="黑体" w:cs="黑体"/>
          <w:sz w:val="24"/>
        </w:rPr>
        <w:t>.7 示值误差扩展不确定度</w:t>
      </w:r>
    </w:p>
    <w:p>
      <w:pPr>
        <w:spacing w:line="348" w:lineRule="auto"/>
        <w:ind w:firstLine="480" w:firstLineChars="200"/>
        <w:rPr>
          <w:position w:val="-28"/>
          <w:lang w:val="en-US"/>
        </w:rPr>
      </w:pPr>
      <w:r>
        <w:rPr>
          <w:rFonts w:hint="eastAsia" w:ascii="宋体" w:hAnsi="宋体"/>
          <w:sz w:val="24"/>
        </w:rPr>
        <w:t>取</w:t>
      </w:r>
      <w:r>
        <w:rPr>
          <w:rFonts w:hint="eastAsia" w:ascii="宋体" w:hAnsi="宋体"/>
          <w:i/>
          <w:sz w:val="24"/>
        </w:rPr>
        <w:t>k</w:t>
      </w:r>
      <w:r>
        <w:rPr>
          <w:rFonts w:hint="eastAsia" w:ascii="宋体" w:hAnsi="宋体"/>
          <w:sz w:val="24"/>
        </w:rPr>
        <w:t>=</w:t>
      </w:r>
      <w:r>
        <w:rPr>
          <w:sz w:val="24"/>
        </w:rPr>
        <w:t>2</w:t>
      </w:r>
      <w:r>
        <w:rPr>
          <w:rFonts w:hint="eastAsia" w:ascii="宋体" w:hAnsi="宋体"/>
          <w:sz w:val="24"/>
        </w:rPr>
        <w:t xml:space="preserve">，则  </w:t>
      </w:r>
      <w:r>
        <w:rPr>
          <w:rFonts w:hint="eastAsia" w:ascii="宋体" w:hAnsi="宋体"/>
          <w:i/>
          <w:iCs/>
          <w:sz w:val="24"/>
        </w:rPr>
        <w:t>U</w:t>
      </w:r>
      <w:r>
        <w:rPr>
          <w:rFonts w:hint="eastAsia" w:ascii="宋体" w:hAnsi="宋体"/>
          <w:sz w:val="24"/>
        </w:rPr>
        <w:t>=</w:t>
      </w:r>
      <w:r>
        <w:rPr>
          <w:rFonts w:hint="eastAsia"/>
          <w:sz w:val="24"/>
          <w:lang w:val="en-US" w:eastAsia="zh-CN"/>
        </w:rPr>
        <w:t>0.0030%。</w:t>
      </w:r>
    </w:p>
    <w:sectPr>
      <w:headerReference r:id="rId22" w:type="default"/>
      <w:footerReference r:id="rId23" w:type="default"/>
      <w:footerReference r:id="rId24" w:type="even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framePr w:wrap="around" w:vAnchor="text" w:hAnchor="margin" w:xAlign="center" w:y="1"/>
      <w:rPr>
        <w:rStyle w:val="25"/>
      </w:rPr>
    </w:pPr>
    <w:r>
      <w:fldChar w:fldCharType="begin"/>
    </w:r>
    <w:r>
      <w:rPr>
        <w:rStyle w:val="25"/>
      </w:rPr>
      <w:instrText xml:space="preserve">PAGE  </w:instrText>
    </w:r>
    <w:r>
      <w:fldChar w:fldCharType="separate"/>
    </w:r>
    <w:r>
      <w:rPr>
        <w:rStyle w:val="25"/>
      </w:rPr>
      <w:t>1</w:t>
    </w:r>
    <w:r>
      <w:fldChar w:fldCharType="end"/>
    </w:r>
  </w:p>
  <w:p>
    <w:pPr>
      <w:pStyle w:val="16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jc w:val="right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16"/>
                            <w:jc w:val="right"/>
                          </w:pPr>
                          <w:r>
                            <w:fldChar w:fldCharType="begin"/>
                          </w:r>
                          <w:r>
                            <w:instrText xml:space="preserve"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 w:val="zh-CN"/>
                            </w:rPr>
                            <w:t>II</w:t>
                          </w:r>
                          <w:r>
                            <w:rPr>
                              <w:lang w:val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DOqXm5&#10;zwAAAAUBAAAPAAAAAAAAAAEAIAAAACIAAABkcnMvZG93bnJldi54bWxQSwECFAAUAAAACACHTuJA&#10;beU6JrgBAABVAwAADgAAAAAAAAABACAAAAAeAQAAZHJzL2Uyb0RvYy54bWxQSwUGAAAAAAYABgBZ&#10;AQAAS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6"/>
                      <w:jc w:val="right"/>
                    </w:pPr>
                    <w:r>
                      <w:fldChar w:fldCharType="begin"/>
                    </w:r>
                    <w:r>
                      <w:instrText xml:space="preserve">PAGE   \* MERGEFORMAT</w:instrText>
                    </w:r>
                    <w:r>
                      <w:fldChar w:fldCharType="separate"/>
                    </w:r>
                    <w:r>
                      <w:rPr>
                        <w:lang w:val="zh-CN"/>
                      </w:rPr>
                      <w:t>II</w:t>
                    </w:r>
                    <w:r>
                      <w:rPr>
                        <w:lang w:val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16"/>
      <w:ind w:right="360"/>
      <w:jc w:val="right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jc w:val="right"/>
    </w:pPr>
    <w:r>
      <w:rPr>
        <w:sz w:val="18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16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3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2" o:spid="_x0000_s1026" o:spt="202" type="#_x0000_t202" style="position:absolute;left:0pt;margin-top:0pt;height:144pt;width:144pt;mso-position-horizontal:right;mso-position-horizontal-relative:margin;mso-wrap-style:none;z-index:25166540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zql5&#10;uc8AAAAFAQAADwAAAAAAAAABACAAAAAiAAAAZHJzL2Rvd25yZXYueG1sUEsBAhQAFAAAAAgAh07i&#10;QPmOppy5AQAAVgMAAA4AAAAAAAAAAQAgAAAAHgEAAGRycy9lMm9Eb2MueG1sUEsFBgAAAAAGAAYA&#10;WQEAAEk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6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3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16"/>
      <w:ind w:right="360"/>
      <w:jc w:val="right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wordWrap w:val="0"/>
      <w:ind w:right="360"/>
      <w:jc w:val="right"/>
    </w:pPr>
    <w:r>
      <w:rPr>
        <w:sz w:val="18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16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3" o:spid="_x0000_s1026" o:spt="202" type="#_x0000_t202" style="position:absolute;left:0pt;margin-top:0pt;height:144pt;width:144pt;mso-position-horizontal:right;mso-position-horizontal-relative:margin;mso-wrap-style:none;z-index:251666432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zql5&#10;uc8AAAAFAQAADwAAAAAAAAABACAAAAAiAAAAZHJzL2Rvd25yZXYueG1sUEsBAhQAFAAAAAgAh07i&#10;QPN2+dq5AQAAVgMAAA4AAAAAAAAAAQAgAAAAHgEAAGRycy9lMm9Eb2MueG1sUEsFBgAAAAAGAAYA&#10;WQEAAEk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6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 xml:space="preserve">   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framePr w:wrap="around" w:vAnchor="text" w:hAnchor="margin" w:xAlign="right" w:y="1"/>
      <w:rPr>
        <w:rStyle w:val="25"/>
      </w:rPr>
    </w:pPr>
    <w:r>
      <w:fldChar w:fldCharType="begin"/>
    </w:r>
    <w:r>
      <w:rPr>
        <w:rStyle w:val="25"/>
      </w:rPr>
      <w:instrText xml:space="preserve">PAGE  </w:instrText>
    </w:r>
    <w:r>
      <w:fldChar w:fldCharType="separate"/>
    </w:r>
    <w:r>
      <w:rPr>
        <w:rStyle w:val="25"/>
      </w:rPr>
      <w:t>2</w:t>
    </w:r>
    <w:r>
      <w:fldChar w:fldCharType="end"/>
    </w:r>
  </w:p>
  <w:p>
    <w:pPr>
      <w:pStyle w:val="16"/>
      <w:ind w:right="360"/>
    </w:pPr>
    <w:r>
      <w:rPr>
        <w:rFonts w:hint="eastAsia"/>
      </w:rPr>
      <w:t xml:space="preserve">                                                                                                    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ind w:right="360"/>
      <w:jc w:val="right"/>
    </w:pP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1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I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6" o:spid="_x0000_s1026" o:spt="202" type="#_x0000_t202" style="position:absolute;left:0pt;margin-top:0pt;height:144pt;width:144pt;mso-position-horizontal:right;mso-position-horizontal-relative:margin;mso-wrap-style:none;z-index:251662336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DOqXm5&#10;zwAAAAUBAAAPAAAAAAAAAAEAIAAAACIAAABkcnMvZG93bnJldi54bWxQSwECFAAUAAAACACHTuJA&#10;KUbJVrgBAABVAwAADgAAAAAAAAABACAAAAAeAQAAZHJzL2Uyb0RvYy54bWxQSwUGAAAAAAYABgBZ&#10;AQAAS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I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framePr w:wrap="around" w:vAnchor="text" w:hAnchor="margin" w:xAlign="right" w:y="1"/>
      <w:rPr>
        <w:rStyle w:val="25"/>
      </w:rPr>
    </w:pPr>
    <w:r>
      <w:fldChar w:fldCharType="begin"/>
    </w:r>
    <w:r>
      <w:rPr>
        <w:rStyle w:val="25"/>
      </w:rPr>
      <w:instrText xml:space="preserve">PAGE  </w:instrText>
    </w:r>
    <w:r>
      <w:fldChar w:fldCharType="separate"/>
    </w:r>
    <w:r>
      <w:rPr>
        <w:rStyle w:val="25"/>
      </w:rPr>
      <w:t>II</w:t>
    </w:r>
    <w:r>
      <w:fldChar w:fldCharType="end"/>
    </w:r>
  </w:p>
  <w:p>
    <w:pPr>
      <w:pStyle w:val="16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ind w:right="360"/>
      <w:jc w:val="right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ind w:right="360"/>
      <w:jc w:val="right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jc w:val="right"/>
    </w:pPr>
    <w: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1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16"/>
                            <w:jc w:val="right"/>
                          </w:pPr>
                          <w:r>
                            <w:fldChar w:fldCharType="begin"/>
                          </w:r>
                          <w:r>
                            <w:instrText xml:space="preserve"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 w:val="zh-CN"/>
                            </w:rPr>
                            <w:t>III</w:t>
                          </w:r>
                          <w:r>
                            <w:rPr>
                              <w:lang w:val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8" o:spid="_x0000_s1026" o:spt="202" type="#_x0000_t202" style="position:absolute;left:0pt;margin-top:0pt;height:144pt;width:144pt;mso-position-horizontal:right;mso-position-horizontal-relative:margin;mso-wrap-style:none;z-index:25166438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DOqXm5&#10;zwAAAAUBAAAPAAAAAAAAAAEAIAAAACIAAABkcnMvZG93bnJldi54bWxQSwECFAAUAAAACACHTuJA&#10;XKuUYLgBAABVAwAADgAAAAAAAAABACAAAAAeAQAAZHJzL2Uyb0RvYy54bWxQSwUGAAAAAAYABgBZ&#10;AQAAS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6"/>
                      <w:jc w:val="right"/>
                    </w:pPr>
                    <w:r>
                      <w:fldChar w:fldCharType="begin"/>
                    </w:r>
                    <w:r>
                      <w:instrText xml:space="preserve">PAGE   \* MERGEFORMAT</w:instrText>
                    </w:r>
                    <w:r>
                      <w:fldChar w:fldCharType="separate"/>
                    </w:r>
                    <w:r>
                      <w:rPr>
                        <w:lang w:val="zh-CN"/>
                      </w:rPr>
                      <w:t>III</w:t>
                    </w:r>
                    <w:r>
                      <w:rPr>
                        <w:lang w:val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16"/>
      <w:ind w:right="360"/>
      <w:jc w:val="right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framePr w:wrap="around" w:vAnchor="text" w:hAnchor="margin" w:xAlign="right" w:yAlign="top"/>
    </w:pPr>
    <w:r>
      <w:fldChar w:fldCharType="begin"/>
    </w:r>
    <w:r>
      <w:rPr>
        <w:rStyle w:val="25"/>
      </w:rPr>
      <w:instrText xml:space="preserve"> PAGE  </w:instrText>
    </w:r>
    <w:r>
      <w:fldChar w:fldCharType="separate"/>
    </w:r>
    <w:r>
      <w:rPr>
        <w:rStyle w:val="25"/>
      </w:rPr>
      <w:t>I</w:t>
    </w:r>
    <w:r>
      <w:fldChar w:fldCharType="end"/>
    </w:r>
  </w:p>
  <w:p>
    <w:pPr>
      <w:pStyle w:val="16"/>
      <w:ind w:right="360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ind w:right="360"/>
      <w:jc w:val="both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9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1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I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5" o:spid="_x0000_s1026" o:spt="202" type="#_x0000_t202" style="position:absolute;left:0pt;margin-top:0pt;height:144pt;width:144pt;mso-position-horizontal:right;mso-position-horizontal-relative:margin;mso-wrap-style:none;z-index:251661312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M6pebnP&#10;AAAABQEAAA8AAAAAAAAAAQAgAAAAIgAAAGRycy9kb3ducmV2LnhtbFBLAQIUABQAAAAIAIdO4kC4&#10;HpHUtwEAAFUDAAAOAAAAAAAAAAEAIAAAAB4BAABkcnMvZTJvRG9jLnhtbFBLBQYAAAAABgAGAFkB&#10;AABH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I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8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16"/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M6pebnP&#10;AAAABQEAAA8AAAAAAAAAAQAgAAAAIgAAAGRycy9kb3ducmV2LnhtbFBLAQIUABQAAAAIAIdO4kAl&#10;Mk6otwEAAFUDAAAOAAAAAAAAAAEAIAAAAB4BAABkcnMvZTJvRG9jLnhtbFBLBQYAAAAABgAGAFkB&#10;AABH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6"/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rPr>
        <w:rFonts w:ascii="黑体" w:eastAsia="黑体"/>
        <w:sz w:val="21"/>
        <w:szCs w:val="21"/>
      </w:rPr>
    </w:pPr>
    <w:r>
      <w:rPr>
        <w:rFonts w:hint="eastAsia" w:ascii="黑体" w:eastAsia="黑体"/>
        <w:sz w:val="21"/>
        <w:szCs w:val="21"/>
      </w:rPr>
      <w:t>JJF ××××-××××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pBdr>
        <w:bottom w:val="none" w:color="auto" w:sz="0" w:space="1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pBdr>
        <w:bottom w:val="none" w:color="auto" w:sz="0" w:space="0"/>
      </w:pBdr>
      <w:jc w:val="both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rPr>
        <w:rFonts w:ascii="黑体" w:hAnsi="黑体" w:eastAsia="黑体"/>
      </w:rPr>
    </w:pPr>
    <w:r>
      <w:rPr>
        <w:rFonts w:hint="eastAsia" w:ascii="黑体" w:hAnsi="黑体" w:eastAsia="黑体"/>
        <w:sz w:val="21"/>
        <w:szCs w:val="21"/>
      </w:rPr>
      <w:t>JJF ××××</w:t>
    </w:r>
    <w:r>
      <w:rPr>
        <w:rFonts w:ascii="黑体" w:hAnsi="黑体" w:eastAsia="黑体" w:cs="黑体"/>
        <w:kern w:val="0"/>
        <w:sz w:val="21"/>
        <w:szCs w:val="21"/>
      </w:rPr>
      <w:t>─</w:t>
    </w:r>
    <w:r>
      <w:rPr>
        <w:rFonts w:hint="eastAsia" w:ascii="黑体" w:hAnsi="黑体" w:eastAsia="黑体"/>
        <w:sz w:val="21"/>
        <w:szCs w:val="21"/>
      </w:rPr>
      <w:t>××××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</w:pPr>
    <w:r>
      <w:rPr>
        <w:rFonts w:hint="eastAsia" w:ascii="黑体" w:eastAsia="黑体"/>
        <w:sz w:val="21"/>
        <w:szCs w:val="21"/>
      </w:rPr>
      <w:t>JJF ××××</w:t>
    </w:r>
    <w:r>
      <w:rPr>
        <w:rFonts w:ascii="宋体" w:hAnsi="宋体" w:cs="黑体"/>
        <w:kern w:val="0"/>
        <w:sz w:val="21"/>
        <w:szCs w:val="21"/>
      </w:rPr>
      <w:t>─</w:t>
    </w:r>
    <w:r>
      <w:rPr>
        <w:rFonts w:hint="eastAsia" w:ascii="黑体" w:eastAsia="黑体"/>
        <w:sz w:val="21"/>
        <w:szCs w:val="21"/>
      </w:rPr>
      <w:t>××××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</w:pPr>
    <w:r>
      <w:rPr>
        <w:rFonts w:hint="eastAsia" w:ascii="黑体" w:eastAsia="黑体"/>
        <w:sz w:val="21"/>
        <w:szCs w:val="21"/>
      </w:rPr>
      <w:t>JJF ××××</w:t>
    </w:r>
    <w:r>
      <w:rPr>
        <w:rFonts w:ascii="宋体" w:hAnsi="宋体" w:cs="黑体"/>
        <w:kern w:val="0"/>
        <w:sz w:val="21"/>
        <w:szCs w:val="21"/>
      </w:rPr>
      <w:t>─</w:t>
    </w:r>
    <w:r>
      <w:rPr>
        <w:rFonts w:hint="eastAsia" w:ascii="黑体" w:eastAsia="黑体"/>
        <w:sz w:val="21"/>
        <w:szCs w:val="21"/>
      </w:rPr>
      <w:t>××××</w: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</w:pPr>
    <w:r>
      <w:rPr>
        <w:rFonts w:hint="eastAsia" w:ascii="黑体" w:eastAsia="黑体"/>
        <w:sz w:val="21"/>
        <w:szCs w:val="21"/>
      </w:rPr>
      <w:t>JJF ××××</w:t>
    </w:r>
    <w:r>
      <w:rPr>
        <w:rFonts w:ascii="宋体" w:hAnsi="宋体" w:cs="黑体"/>
        <w:kern w:val="0"/>
        <w:sz w:val="21"/>
        <w:szCs w:val="21"/>
      </w:rPr>
      <w:t>─</w:t>
    </w:r>
    <w:r>
      <w:rPr>
        <w:rFonts w:hint="eastAsia" w:ascii="黑体" w:eastAsia="黑体"/>
        <w:sz w:val="21"/>
        <w:szCs w:val="21"/>
      </w:rPr>
      <w:t>××××</w: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</w:pPr>
    <w:r>
      <w:rPr>
        <w:rFonts w:hint="eastAsia" w:ascii="黑体" w:eastAsia="黑体"/>
        <w:sz w:val="21"/>
        <w:szCs w:val="21"/>
      </w:rPr>
      <w:t>JJF ××××</w:t>
    </w:r>
    <w:r>
      <w:rPr>
        <w:rFonts w:ascii="宋体" w:hAnsi="宋体" w:cs="黑体"/>
        <w:kern w:val="0"/>
        <w:sz w:val="21"/>
        <w:szCs w:val="21"/>
      </w:rPr>
      <w:t>─</w:t>
    </w:r>
    <w:r>
      <w:rPr>
        <w:rFonts w:hint="eastAsia" w:ascii="黑体" w:eastAsia="黑体"/>
        <w:sz w:val="21"/>
        <w:szCs w:val="21"/>
      </w:rPr>
      <w:t>××××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F"/>
    <w:multiLevelType w:val="multilevel"/>
    <w:tmpl w:val="0000001F"/>
    <w:lvl w:ilvl="0" w:tentative="0">
      <w:start w:val="0"/>
      <w:numFmt w:val="none"/>
      <w:pStyle w:val="30"/>
      <w:lvlText w:val=""/>
      <w:lvlJc w:val="left"/>
      <w:pPr>
        <w:tabs>
          <w:tab w:val="left" w:pos="360"/>
        </w:tabs>
      </w:pPr>
    </w:lvl>
    <w:lvl w:ilvl="1" w:tentative="0">
      <w:start w:val="1"/>
      <w:numFmt w:val="decimal"/>
      <w:pStyle w:val="32"/>
      <w:suff w:val="nothing"/>
      <w:lvlText w:val="%1%2　"/>
      <w:lvlJc w:val="left"/>
      <w:pPr>
        <w:ind w:left="315" w:firstLine="0"/>
      </w:pPr>
      <w:rPr>
        <w:rFonts w:hint="eastAsia" w:ascii="黑体" w:hAnsi="Times New Roman" w:eastAsia="黑体"/>
        <w:b w:val="0"/>
        <w:i w:val="0"/>
        <w:sz w:val="21"/>
      </w:rPr>
    </w:lvl>
    <w:lvl w:ilvl="2" w:tentative="0">
      <w:start w:val="1"/>
      <w:numFmt w:val="decimal"/>
      <w:pStyle w:val="33"/>
      <w:suff w:val="nothing"/>
      <w:lvlText w:val="%1%2.%3　"/>
      <w:lvlJc w:val="left"/>
      <w:pPr>
        <w:ind w:left="2205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34"/>
      <w:suff w:val="nothing"/>
      <w:lvlText w:val="%1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35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36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pStyle w:val="37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>
    <w:nsid w:val="648EFE50"/>
    <w:multiLevelType w:val="singleLevel"/>
    <w:tmpl w:val="648EFE50"/>
    <w:lvl w:ilvl="0" w:tentative="0">
      <w:start w:val="2"/>
      <w:numFmt w:val="decimal"/>
      <w:suff w:val="nothing"/>
      <w:lvlText w:val="%1、"/>
      <w:lvlJc w:val="left"/>
    </w:lvl>
  </w:abstractNum>
  <w:abstractNum w:abstractNumId="2">
    <w:nsid w:val="72503980"/>
    <w:multiLevelType w:val="multilevel"/>
    <w:tmpl w:val="72503980"/>
    <w:lvl w:ilvl="0" w:tentative="0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doNotShadeFormData w:val="1"/>
  <w:noPunctuationKerning w:val="1"/>
  <w:characterSpacingControl w:val="compressPunctuation"/>
  <w:doNotValidateAgainstSchema/>
  <w:doNotDemarcateInvalidXml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368"/>
    <w:rsid w:val="00000C98"/>
    <w:rsid w:val="00000F0A"/>
    <w:rsid w:val="000056C9"/>
    <w:rsid w:val="000060F1"/>
    <w:rsid w:val="000073C0"/>
    <w:rsid w:val="00007644"/>
    <w:rsid w:val="000100A6"/>
    <w:rsid w:val="00011562"/>
    <w:rsid w:val="000135EA"/>
    <w:rsid w:val="000138A2"/>
    <w:rsid w:val="000160F2"/>
    <w:rsid w:val="00016DB4"/>
    <w:rsid w:val="00023452"/>
    <w:rsid w:val="00023D58"/>
    <w:rsid w:val="0002500A"/>
    <w:rsid w:val="00026339"/>
    <w:rsid w:val="00026744"/>
    <w:rsid w:val="00027A81"/>
    <w:rsid w:val="00030984"/>
    <w:rsid w:val="0004091E"/>
    <w:rsid w:val="0004095E"/>
    <w:rsid w:val="00042BCA"/>
    <w:rsid w:val="00046297"/>
    <w:rsid w:val="00047C83"/>
    <w:rsid w:val="00050A70"/>
    <w:rsid w:val="00054528"/>
    <w:rsid w:val="00056226"/>
    <w:rsid w:val="0005696B"/>
    <w:rsid w:val="00060388"/>
    <w:rsid w:val="00061136"/>
    <w:rsid w:val="00061AFA"/>
    <w:rsid w:val="00061F0F"/>
    <w:rsid w:val="00064781"/>
    <w:rsid w:val="00064D94"/>
    <w:rsid w:val="00067D2E"/>
    <w:rsid w:val="0007073B"/>
    <w:rsid w:val="000708EC"/>
    <w:rsid w:val="00070AE8"/>
    <w:rsid w:val="00071B97"/>
    <w:rsid w:val="00072285"/>
    <w:rsid w:val="000737AD"/>
    <w:rsid w:val="00074485"/>
    <w:rsid w:val="0007527D"/>
    <w:rsid w:val="000753B2"/>
    <w:rsid w:val="00075D1A"/>
    <w:rsid w:val="00077F13"/>
    <w:rsid w:val="00081E33"/>
    <w:rsid w:val="00083C4C"/>
    <w:rsid w:val="00083CAD"/>
    <w:rsid w:val="00090C21"/>
    <w:rsid w:val="00093780"/>
    <w:rsid w:val="00095BEF"/>
    <w:rsid w:val="000A20B3"/>
    <w:rsid w:val="000A25CE"/>
    <w:rsid w:val="000A2D03"/>
    <w:rsid w:val="000A759A"/>
    <w:rsid w:val="000A7E68"/>
    <w:rsid w:val="000A7F55"/>
    <w:rsid w:val="000B1E8B"/>
    <w:rsid w:val="000B3BEF"/>
    <w:rsid w:val="000B3F08"/>
    <w:rsid w:val="000B5773"/>
    <w:rsid w:val="000B57B1"/>
    <w:rsid w:val="000B6D79"/>
    <w:rsid w:val="000C421C"/>
    <w:rsid w:val="000C63E6"/>
    <w:rsid w:val="000C6499"/>
    <w:rsid w:val="000D2C5F"/>
    <w:rsid w:val="000D4A61"/>
    <w:rsid w:val="000D5FC4"/>
    <w:rsid w:val="000D61BE"/>
    <w:rsid w:val="000D73B7"/>
    <w:rsid w:val="000E2393"/>
    <w:rsid w:val="000E2B2A"/>
    <w:rsid w:val="000E32D4"/>
    <w:rsid w:val="000E33C8"/>
    <w:rsid w:val="000E54F6"/>
    <w:rsid w:val="000E59C4"/>
    <w:rsid w:val="000E6820"/>
    <w:rsid w:val="000E6B58"/>
    <w:rsid w:val="000E7CE6"/>
    <w:rsid w:val="000F104C"/>
    <w:rsid w:val="000F1363"/>
    <w:rsid w:val="000F186C"/>
    <w:rsid w:val="000F198F"/>
    <w:rsid w:val="000F2036"/>
    <w:rsid w:val="000F5048"/>
    <w:rsid w:val="000F63B4"/>
    <w:rsid w:val="0010027E"/>
    <w:rsid w:val="00100899"/>
    <w:rsid w:val="0010778C"/>
    <w:rsid w:val="0011008E"/>
    <w:rsid w:val="00114805"/>
    <w:rsid w:val="00115FE3"/>
    <w:rsid w:val="001179E0"/>
    <w:rsid w:val="001201A2"/>
    <w:rsid w:val="00122125"/>
    <w:rsid w:val="00123662"/>
    <w:rsid w:val="00125318"/>
    <w:rsid w:val="001320D6"/>
    <w:rsid w:val="00132869"/>
    <w:rsid w:val="00133D68"/>
    <w:rsid w:val="00135950"/>
    <w:rsid w:val="00136EAD"/>
    <w:rsid w:val="00137943"/>
    <w:rsid w:val="00144004"/>
    <w:rsid w:val="00147048"/>
    <w:rsid w:val="00151148"/>
    <w:rsid w:val="00152700"/>
    <w:rsid w:val="00154AE5"/>
    <w:rsid w:val="001611B2"/>
    <w:rsid w:val="0016441D"/>
    <w:rsid w:val="0016599A"/>
    <w:rsid w:val="00165D55"/>
    <w:rsid w:val="00165D88"/>
    <w:rsid w:val="001665C9"/>
    <w:rsid w:val="0016683A"/>
    <w:rsid w:val="00166E31"/>
    <w:rsid w:val="00171C50"/>
    <w:rsid w:val="00171E26"/>
    <w:rsid w:val="00172A27"/>
    <w:rsid w:val="00173904"/>
    <w:rsid w:val="001744DD"/>
    <w:rsid w:val="0017596E"/>
    <w:rsid w:val="00177B7A"/>
    <w:rsid w:val="001810F7"/>
    <w:rsid w:val="001835C2"/>
    <w:rsid w:val="00186D3B"/>
    <w:rsid w:val="00187052"/>
    <w:rsid w:val="001905C4"/>
    <w:rsid w:val="00190B91"/>
    <w:rsid w:val="0019451F"/>
    <w:rsid w:val="00194F35"/>
    <w:rsid w:val="00195712"/>
    <w:rsid w:val="001A0015"/>
    <w:rsid w:val="001A07F4"/>
    <w:rsid w:val="001A1DBE"/>
    <w:rsid w:val="001A313A"/>
    <w:rsid w:val="001A4823"/>
    <w:rsid w:val="001A4B09"/>
    <w:rsid w:val="001A78A4"/>
    <w:rsid w:val="001B14B0"/>
    <w:rsid w:val="001B2217"/>
    <w:rsid w:val="001B293E"/>
    <w:rsid w:val="001B2F78"/>
    <w:rsid w:val="001B490A"/>
    <w:rsid w:val="001B4E17"/>
    <w:rsid w:val="001B77F6"/>
    <w:rsid w:val="001B7ACA"/>
    <w:rsid w:val="001B7C09"/>
    <w:rsid w:val="001C0C04"/>
    <w:rsid w:val="001C1537"/>
    <w:rsid w:val="001C2FF1"/>
    <w:rsid w:val="001C5865"/>
    <w:rsid w:val="001C61A0"/>
    <w:rsid w:val="001D0C76"/>
    <w:rsid w:val="001D30F9"/>
    <w:rsid w:val="001D3129"/>
    <w:rsid w:val="001D3A2F"/>
    <w:rsid w:val="001D4596"/>
    <w:rsid w:val="001D71D2"/>
    <w:rsid w:val="001E0CC3"/>
    <w:rsid w:val="001E43A5"/>
    <w:rsid w:val="001E6209"/>
    <w:rsid w:val="001F06A6"/>
    <w:rsid w:val="001F0EFE"/>
    <w:rsid w:val="001F168D"/>
    <w:rsid w:val="001F2F66"/>
    <w:rsid w:val="001F4973"/>
    <w:rsid w:val="001F51DB"/>
    <w:rsid w:val="001F600A"/>
    <w:rsid w:val="001F6C02"/>
    <w:rsid w:val="00200147"/>
    <w:rsid w:val="002026FE"/>
    <w:rsid w:val="00202952"/>
    <w:rsid w:val="002068FE"/>
    <w:rsid w:val="002075CB"/>
    <w:rsid w:val="00210054"/>
    <w:rsid w:val="00211DE5"/>
    <w:rsid w:val="00212345"/>
    <w:rsid w:val="00212F31"/>
    <w:rsid w:val="00214F9B"/>
    <w:rsid w:val="0021677B"/>
    <w:rsid w:val="002176E0"/>
    <w:rsid w:val="0022141C"/>
    <w:rsid w:val="00221A80"/>
    <w:rsid w:val="00222E79"/>
    <w:rsid w:val="0022495A"/>
    <w:rsid w:val="00230A94"/>
    <w:rsid w:val="00232BC9"/>
    <w:rsid w:val="002336B4"/>
    <w:rsid w:val="00233DA4"/>
    <w:rsid w:val="00236F92"/>
    <w:rsid w:val="00240F19"/>
    <w:rsid w:val="002460FC"/>
    <w:rsid w:val="00246E69"/>
    <w:rsid w:val="002472FD"/>
    <w:rsid w:val="002506A6"/>
    <w:rsid w:val="00252423"/>
    <w:rsid w:val="00253577"/>
    <w:rsid w:val="00253D76"/>
    <w:rsid w:val="002546D3"/>
    <w:rsid w:val="00254C11"/>
    <w:rsid w:val="00255EAC"/>
    <w:rsid w:val="0025614A"/>
    <w:rsid w:val="00257688"/>
    <w:rsid w:val="0026085C"/>
    <w:rsid w:val="00260B88"/>
    <w:rsid w:val="002628F3"/>
    <w:rsid w:val="002637A7"/>
    <w:rsid w:val="0026448D"/>
    <w:rsid w:val="00265255"/>
    <w:rsid w:val="00265F52"/>
    <w:rsid w:val="002664E6"/>
    <w:rsid w:val="0027030B"/>
    <w:rsid w:val="00270E46"/>
    <w:rsid w:val="00274873"/>
    <w:rsid w:val="00275366"/>
    <w:rsid w:val="002772B6"/>
    <w:rsid w:val="00281640"/>
    <w:rsid w:val="00281FE0"/>
    <w:rsid w:val="0028341C"/>
    <w:rsid w:val="00286CC2"/>
    <w:rsid w:val="00286FC5"/>
    <w:rsid w:val="0028707A"/>
    <w:rsid w:val="00287C50"/>
    <w:rsid w:val="002909B0"/>
    <w:rsid w:val="00291BF0"/>
    <w:rsid w:val="00291EBF"/>
    <w:rsid w:val="00294CDC"/>
    <w:rsid w:val="002A12AD"/>
    <w:rsid w:val="002A5378"/>
    <w:rsid w:val="002A5495"/>
    <w:rsid w:val="002A5765"/>
    <w:rsid w:val="002A5EEC"/>
    <w:rsid w:val="002B1AA1"/>
    <w:rsid w:val="002B1BA5"/>
    <w:rsid w:val="002B48D0"/>
    <w:rsid w:val="002B4AD4"/>
    <w:rsid w:val="002B58E1"/>
    <w:rsid w:val="002B679E"/>
    <w:rsid w:val="002B7849"/>
    <w:rsid w:val="002C1FE6"/>
    <w:rsid w:val="002C2160"/>
    <w:rsid w:val="002C35ED"/>
    <w:rsid w:val="002C42CB"/>
    <w:rsid w:val="002C6125"/>
    <w:rsid w:val="002C613A"/>
    <w:rsid w:val="002C7822"/>
    <w:rsid w:val="002D2563"/>
    <w:rsid w:val="002D401E"/>
    <w:rsid w:val="002D5EF5"/>
    <w:rsid w:val="002E0CF6"/>
    <w:rsid w:val="002E3BA1"/>
    <w:rsid w:val="002E7C85"/>
    <w:rsid w:val="002F174A"/>
    <w:rsid w:val="002F2ADE"/>
    <w:rsid w:val="002F3C0A"/>
    <w:rsid w:val="002F4997"/>
    <w:rsid w:val="002F7E07"/>
    <w:rsid w:val="003036E3"/>
    <w:rsid w:val="003037E0"/>
    <w:rsid w:val="00303FC0"/>
    <w:rsid w:val="00304B81"/>
    <w:rsid w:val="00304E96"/>
    <w:rsid w:val="00310ADC"/>
    <w:rsid w:val="003141D1"/>
    <w:rsid w:val="00315DB5"/>
    <w:rsid w:val="003163FF"/>
    <w:rsid w:val="003175D3"/>
    <w:rsid w:val="00320355"/>
    <w:rsid w:val="00320930"/>
    <w:rsid w:val="00320D25"/>
    <w:rsid w:val="00323C84"/>
    <w:rsid w:val="00323CE7"/>
    <w:rsid w:val="00324820"/>
    <w:rsid w:val="0032551C"/>
    <w:rsid w:val="003258F7"/>
    <w:rsid w:val="00330D48"/>
    <w:rsid w:val="00331D84"/>
    <w:rsid w:val="003325E6"/>
    <w:rsid w:val="00332C00"/>
    <w:rsid w:val="00333F79"/>
    <w:rsid w:val="00336FAF"/>
    <w:rsid w:val="00337DC9"/>
    <w:rsid w:val="0034162E"/>
    <w:rsid w:val="003421F9"/>
    <w:rsid w:val="003427C1"/>
    <w:rsid w:val="00346B78"/>
    <w:rsid w:val="003470C8"/>
    <w:rsid w:val="00347D15"/>
    <w:rsid w:val="00350161"/>
    <w:rsid w:val="003516B7"/>
    <w:rsid w:val="003519D2"/>
    <w:rsid w:val="0035232C"/>
    <w:rsid w:val="00352ABC"/>
    <w:rsid w:val="00354DA8"/>
    <w:rsid w:val="00354EF1"/>
    <w:rsid w:val="00357B05"/>
    <w:rsid w:val="0036014A"/>
    <w:rsid w:val="003625AA"/>
    <w:rsid w:val="003628E2"/>
    <w:rsid w:val="00363504"/>
    <w:rsid w:val="003639C1"/>
    <w:rsid w:val="003643ED"/>
    <w:rsid w:val="0037148A"/>
    <w:rsid w:val="00371C3B"/>
    <w:rsid w:val="0037296D"/>
    <w:rsid w:val="003766DF"/>
    <w:rsid w:val="0038021D"/>
    <w:rsid w:val="00380E77"/>
    <w:rsid w:val="0038188C"/>
    <w:rsid w:val="00386FF0"/>
    <w:rsid w:val="00390783"/>
    <w:rsid w:val="003930BE"/>
    <w:rsid w:val="003A0CA7"/>
    <w:rsid w:val="003A105F"/>
    <w:rsid w:val="003A142F"/>
    <w:rsid w:val="003A31F8"/>
    <w:rsid w:val="003A3A87"/>
    <w:rsid w:val="003A42D6"/>
    <w:rsid w:val="003A4C48"/>
    <w:rsid w:val="003A4E17"/>
    <w:rsid w:val="003A57B7"/>
    <w:rsid w:val="003B49C2"/>
    <w:rsid w:val="003B53C7"/>
    <w:rsid w:val="003B76C4"/>
    <w:rsid w:val="003B771C"/>
    <w:rsid w:val="003B789E"/>
    <w:rsid w:val="003C0359"/>
    <w:rsid w:val="003C3B8D"/>
    <w:rsid w:val="003C6308"/>
    <w:rsid w:val="003C6385"/>
    <w:rsid w:val="003C691C"/>
    <w:rsid w:val="003D0A04"/>
    <w:rsid w:val="003D1A6A"/>
    <w:rsid w:val="003D2A90"/>
    <w:rsid w:val="003D4031"/>
    <w:rsid w:val="003D74BE"/>
    <w:rsid w:val="003E337F"/>
    <w:rsid w:val="003E40BE"/>
    <w:rsid w:val="003E4C47"/>
    <w:rsid w:val="003E5457"/>
    <w:rsid w:val="003E59DA"/>
    <w:rsid w:val="003E606D"/>
    <w:rsid w:val="003E6AE1"/>
    <w:rsid w:val="003F0B36"/>
    <w:rsid w:val="003F1798"/>
    <w:rsid w:val="003F34C7"/>
    <w:rsid w:val="003F4005"/>
    <w:rsid w:val="003F5461"/>
    <w:rsid w:val="003F622B"/>
    <w:rsid w:val="00400E0D"/>
    <w:rsid w:val="004017B7"/>
    <w:rsid w:val="00402831"/>
    <w:rsid w:val="00402AFE"/>
    <w:rsid w:val="00404343"/>
    <w:rsid w:val="00404E3F"/>
    <w:rsid w:val="00407897"/>
    <w:rsid w:val="00410D48"/>
    <w:rsid w:val="00414FD6"/>
    <w:rsid w:val="00415F27"/>
    <w:rsid w:val="00420985"/>
    <w:rsid w:val="00420CE4"/>
    <w:rsid w:val="00420D78"/>
    <w:rsid w:val="00425BF2"/>
    <w:rsid w:val="00427BB5"/>
    <w:rsid w:val="00432735"/>
    <w:rsid w:val="004327BD"/>
    <w:rsid w:val="00435C39"/>
    <w:rsid w:val="00435C84"/>
    <w:rsid w:val="004418C2"/>
    <w:rsid w:val="00442650"/>
    <w:rsid w:val="00444667"/>
    <w:rsid w:val="00445B40"/>
    <w:rsid w:val="00446BDA"/>
    <w:rsid w:val="00450107"/>
    <w:rsid w:val="004521AE"/>
    <w:rsid w:val="00452C21"/>
    <w:rsid w:val="00452D11"/>
    <w:rsid w:val="0045409E"/>
    <w:rsid w:val="0045558B"/>
    <w:rsid w:val="004573E4"/>
    <w:rsid w:val="00462F9C"/>
    <w:rsid w:val="00463475"/>
    <w:rsid w:val="004635A9"/>
    <w:rsid w:val="004656F5"/>
    <w:rsid w:val="0046704B"/>
    <w:rsid w:val="00467E3C"/>
    <w:rsid w:val="00473533"/>
    <w:rsid w:val="00474EF3"/>
    <w:rsid w:val="00476A56"/>
    <w:rsid w:val="0048247A"/>
    <w:rsid w:val="00482785"/>
    <w:rsid w:val="00483001"/>
    <w:rsid w:val="00484976"/>
    <w:rsid w:val="004906FA"/>
    <w:rsid w:val="004913BA"/>
    <w:rsid w:val="00492950"/>
    <w:rsid w:val="004938C9"/>
    <w:rsid w:val="00494D2A"/>
    <w:rsid w:val="00494EE9"/>
    <w:rsid w:val="004A1333"/>
    <w:rsid w:val="004A15E0"/>
    <w:rsid w:val="004A28B9"/>
    <w:rsid w:val="004B1A52"/>
    <w:rsid w:val="004B1CEB"/>
    <w:rsid w:val="004B23BD"/>
    <w:rsid w:val="004B29E5"/>
    <w:rsid w:val="004B40CB"/>
    <w:rsid w:val="004B4667"/>
    <w:rsid w:val="004B51D8"/>
    <w:rsid w:val="004B6B2A"/>
    <w:rsid w:val="004B79AB"/>
    <w:rsid w:val="004C1BD0"/>
    <w:rsid w:val="004C24D7"/>
    <w:rsid w:val="004C2AB2"/>
    <w:rsid w:val="004D0B34"/>
    <w:rsid w:val="004D11E0"/>
    <w:rsid w:val="004D361D"/>
    <w:rsid w:val="004D387B"/>
    <w:rsid w:val="004D395D"/>
    <w:rsid w:val="004D4678"/>
    <w:rsid w:val="004D5527"/>
    <w:rsid w:val="004E2C12"/>
    <w:rsid w:val="004E3ED9"/>
    <w:rsid w:val="004E5723"/>
    <w:rsid w:val="004F0AFE"/>
    <w:rsid w:val="004F28E3"/>
    <w:rsid w:val="004F4461"/>
    <w:rsid w:val="004F5433"/>
    <w:rsid w:val="004F5D20"/>
    <w:rsid w:val="004F5F1D"/>
    <w:rsid w:val="00500669"/>
    <w:rsid w:val="00500F2D"/>
    <w:rsid w:val="00501208"/>
    <w:rsid w:val="005017C2"/>
    <w:rsid w:val="00501912"/>
    <w:rsid w:val="005021EB"/>
    <w:rsid w:val="00502AE7"/>
    <w:rsid w:val="00504255"/>
    <w:rsid w:val="00506FD4"/>
    <w:rsid w:val="00507995"/>
    <w:rsid w:val="00511029"/>
    <w:rsid w:val="00512176"/>
    <w:rsid w:val="0051324B"/>
    <w:rsid w:val="00515FB8"/>
    <w:rsid w:val="00516294"/>
    <w:rsid w:val="005168F6"/>
    <w:rsid w:val="00520E09"/>
    <w:rsid w:val="005212D5"/>
    <w:rsid w:val="00522EBC"/>
    <w:rsid w:val="005241B8"/>
    <w:rsid w:val="005243D4"/>
    <w:rsid w:val="00526239"/>
    <w:rsid w:val="00526770"/>
    <w:rsid w:val="00527D4F"/>
    <w:rsid w:val="00532C36"/>
    <w:rsid w:val="00535074"/>
    <w:rsid w:val="00540824"/>
    <w:rsid w:val="00540EFC"/>
    <w:rsid w:val="0054194D"/>
    <w:rsid w:val="00541B48"/>
    <w:rsid w:val="0054209E"/>
    <w:rsid w:val="00542785"/>
    <w:rsid w:val="00542C5A"/>
    <w:rsid w:val="00542CDA"/>
    <w:rsid w:val="00545683"/>
    <w:rsid w:val="00545692"/>
    <w:rsid w:val="00547168"/>
    <w:rsid w:val="00547443"/>
    <w:rsid w:val="005528A6"/>
    <w:rsid w:val="00552D58"/>
    <w:rsid w:val="00555A4E"/>
    <w:rsid w:val="00557862"/>
    <w:rsid w:val="00560206"/>
    <w:rsid w:val="005613CF"/>
    <w:rsid w:val="00567DD4"/>
    <w:rsid w:val="00571AD8"/>
    <w:rsid w:val="005745F2"/>
    <w:rsid w:val="005825E0"/>
    <w:rsid w:val="00584D15"/>
    <w:rsid w:val="00585505"/>
    <w:rsid w:val="00586EEA"/>
    <w:rsid w:val="00587CEC"/>
    <w:rsid w:val="00591EC0"/>
    <w:rsid w:val="00592F91"/>
    <w:rsid w:val="005939BE"/>
    <w:rsid w:val="0059469F"/>
    <w:rsid w:val="0059499C"/>
    <w:rsid w:val="005A2301"/>
    <w:rsid w:val="005A4595"/>
    <w:rsid w:val="005B2E03"/>
    <w:rsid w:val="005B5EF3"/>
    <w:rsid w:val="005B69AE"/>
    <w:rsid w:val="005C55D6"/>
    <w:rsid w:val="005C5FC6"/>
    <w:rsid w:val="005C7F83"/>
    <w:rsid w:val="005D0B7A"/>
    <w:rsid w:val="005D2660"/>
    <w:rsid w:val="005D2F6E"/>
    <w:rsid w:val="005D6FBA"/>
    <w:rsid w:val="005D7F0D"/>
    <w:rsid w:val="005D7F40"/>
    <w:rsid w:val="005E047B"/>
    <w:rsid w:val="005E1A99"/>
    <w:rsid w:val="005E20D9"/>
    <w:rsid w:val="005E41EA"/>
    <w:rsid w:val="005E4F6B"/>
    <w:rsid w:val="005E6C2C"/>
    <w:rsid w:val="005E7586"/>
    <w:rsid w:val="005F03EE"/>
    <w:rsid w:val="005F17B0"/>
    <w:rsid w:val="005F1EFD"/>
    <w:rsid w:val="005F4C24"/>
    <w:rsid w:val="005F4C74"/>
    <w:rsid w:val="005F60CB"/>
    <w:rsid w:val="005F78EC"/>
    <w:rsid w:val="005F7EE1"/>
    <w:rsid w:val="00601C67"/>
    <w:rsid w:val="00602CA9"/>
    <w:rsid w:val="00604111"/>
    <w:rsid w:val="006053BE"/>
    <w:rsid w:val="006112A3"/>
    <w:rsid w:val="00611D51"/>
    <w:rsid w:val="00613C4B"/>
    <w:rsid w:val="006151A4"/>
    <w:rsid w:val="0061523D"/>
    <w:rsid w:val="00615D54"/>
    <w:rsid w:val="006163F7"/>
    <w:rsid w:val="00616477"/>
    <w:rsid w:val="00617BF0"/>
    <w:rsid w:val="00617FD8"/>
    <w:rsid w:val="006226CD"/>
    <w:rsid w:val="0062304B"/>
    <w:rsid w:val="00623103"/>
    <w:rsid w:val="006234EC"/>
    <w:rsid w:val="006260C5"/>
    <w:rsid w:val="006346E2"/>
    <w:rsid w:val="00634A37"/>
    <w:rsid w:val="00642DDC"/>
    <w:rsid w:val="006432F8"/>
    <w:rsid w:val="00643314"/>
    <w:rsid w:val="00643689"/>
    <w:rsid w:val="00644355"/>
    <w:rsid w:val="00645E3C"/>
    <w:rsid w:val="00645F3A"/>
    <w:rsid w:val="0064665D"/>
    <w:rsid w:val="0064679E"/>
    <w:rsid w:val="00647E0A"/>
    <w:rsid w:val="00650231"/>
    <w:rsid w:val="00652421"/>
    <w:rsid w:val="0065382C"/>
    <w:rsid w:val="006541CC"/>
    <w:rsid w:val="00654608"/>
    <w:rsid w:val="00656236"/>
    <w:rsid w:val="006566E4"/>
    <w:rsid w:val="006573EF"/>
    <w:rsid w:val="006606B6"/>
    <w:rsid w:val="00660B5E"/>
    <w:rsid w:val="00660B6C"/>
    <w:rsid w:val="00661416"/>
    <w:rsid w:val="0066206F"/>
    <w:rsid w:val="00667134"/>
    <w:rsid w:val="00670D9A"/>
    <w:rsid w:val="00670ED0"/>
    <w:rsid w:val="00671792"/>
    <w:rsid w:val="006735D0"/>
    <w:rsid w:val="00674297"/>
    <w:rsid w:val="00676138"/>
    <w:rsid w:val="00683F22"/>
    <w:rsid w:val="006840AB"/>
    <w:rsid w:val="00685356"/>
    <w:rsid w:val="00685B4F"/>
    <w:rsid w:val="00687608"/>
    <w:rsid w:val="0068761E"/>
    <w:rsid w:val="0069189A"/>
    <w:rsid w:val="00693C0D"/>
    <w:rsid w:val="00693F80"/>
    <w:rsid w:val="0069654A"/>
    <w:rsid w:val="0069780B"/>
    <w:rsid w:val="006A158C"/>
    <w:rsid w:val="006A405C"/>
    <w:rsid w:val="006A4C27"/>
    <w:rsid w:val="006B45DD"/>
    <w:rsid w:val="006B7703"/>
    <w:rsid w:val="006C0044"/>
    <w:rsid w:val="006C03E5"/>
    <w:rsid w:val="006C123A"/>
    <w:rsid w:val="006C22A6"/>
    <w:rsid w:val="006C35D0"/>
    <w:rsid w:val="006C3FE6"/>
    <w:rsid w:val="006C4305"/>
    <w:rsid w:val="006C7323"/>
    <w:rsid w:val="006C7661"/>
    <w:rsid w:val="006D1F6D"/>
    <w:rsid w:val="006D44C8"/>
    <w:rsid w:val="006D4545"/>
    <w:rsid w:val="006D60DE"/>
    <w:rsid w:val="006D7B54"/>
    <w:rsid w:val="006E0EEC"/>
    <w:rsid w:val="006E15E3"/>
    <w:rsid w:val="006E1A18"/>
    <w:rsid w:val="006E231C"/>
    <w:rsid w:val="006E28C3"/>
    <w:rsid w:val="006E3F43"/>
    <w:rsid w:val="006E6D1A"/>
    <w:rsid w:val="006F03FD"/>
    <w:rsid w:val="006F2942"/>
    <w:rsid w:val="006F5C6A"/>
    <w:rsid w:val="006F73DA"/>
    <w:rsid w:val="006F7B84"/>
    <w:rsid w:val="0070035B"/>
    <w:rsid w:val="007036FC"/>
    <w:rsid w:val="00704942"/>
    <w:rsid w:val="007051A4"/>
    <w:rsid w:val="0070650C"/>
    <w:rsid w:val="0071042A"/>
    <w:rsid w:val="00710B21"/>
    <w:rsid w:val="00711592"/>
    <w:rsid w:val="00714217"/>
    <w:rsid w:val="00716125"/>
    <w:rsid w:val="00716409"/>
    <w:rsid w:val="0072269C"/>
    <w:rsid w:val="00722964"/>
    <w:rsid w:val="00722F2A"/>
    <w:rsid w:val="00724841"/>
    <w:rsid w:val="00725A6C"/>
    <w:rsid w:val="00727604"/>
    <w:rsid w:val="00727C08"/>
    <w:rsid w:val="00727EB9"/>
    <w:rsid w:val="007302F5"/>
    <w:rsid w:val="00731290"/>
    <w:rsid w:val="00731A15"/>
    <w:rsid w:val="00731C47"/>
    <w:rsid w:val="00733362"/>
    <w:rsid w:val="00733765"/>
    <w:rsid w:val="0073643A"/>
    <w:rsid w:val="007373D3"/>
    <w:rsid w:val="00740E78"/>
    <w:rsid w:val="00741CA9"/>
    <w:rsid w:val="00746D67"/>
    <w:rsid w:val="007473BB"/>
    <w:rsid w:val="00750783"/>
    <w:rsid w:val="007562EE"/>
    <w:rsid w:val="007617E5"/>
    <w:rsid w:val="007627A9"/>
    <w:rsid w:val="00762A47"/>
    <w:rsid w:val="00762AAA"/>
    <w:rsid w:val="00762C71"/>
    <w:rsid w:val="00765395"/>
    <w:rsid w:val="007660D4"/>
    <w:rsid w:val="007662BD"/>
    <w:rsid w:val="00767225"/>
    <w:rsid w:val="007675C1"/>
    <w:rsid w:val="007678B6"/>
    <w:rsid w:val="00770E7F"/>
    <w:rsid w:val="00772A64"/>
    <w:rsid w:val="00773EFA"/>
    <w:rsid w:val="00773F2C"/>
    <w:rsid w:val="00776E1D"/>
    <w:rsid w:val="00777065"/>
    <w:rsid w:val="00777EFA"/>
    <w:rsid w:val="0078027A"/>
    <w:rsid w:val="00780560"/>
    <w:rsid w:val="00781C65"/>
    <w:rsid w:val="00783354"/>
    <w:rsid w:val="00783928"/>
    <w:rsid w:val="00786B96"/>
    <w:rsid w:val="00791C65"/>
    <w:rsid w:val="007946C4"/>
    <w:rsid w:val="007974D0"/>
    <w:rsid w:val="00797D12"/>
    <w:rsid w:val="007A22D3"/>
    <w:rsid w:val="007A3D86"/>
    <w:rsid w:val="007A5238"/>
    <w:rsid w:val="007A714A"/>
    <w:rsid w:val="007B09D6"/>
    <w:rsid w:val="007B136D"/>
    <w:rsid w:val="007B29BE"/>
    <w:rsid w:val="007B3D53"/>
    <w:rsid w:val="007B681E"/>
    <w:rsid w:val="007B7B1D"/>
    <w:rsid w:val="007C1BFE"/>
    <w:rsid w:val="007C2C03"/>
    <w:rsid w:val="007C31E5"/>
    <w:rsid w:val="007C4E1B"/>
    <w:rsid w:val="007C5703"/>
    <w:rsid w:val="007C5D1D"/>
    <w:rsid w:val="007C6CB6"/>
    <w:rsid w:val="007C6FB9"/>
    <w:rsid w:val="007D0233"/>
    <w:rsid w:val="007D4337"/>
    <w:rsid w:val="007D6D63"/>
    <w:rsid w:val="007D7126"/>
    <w:rsid w:val="007E07CA"/>
    <w:rsid w:val="007E0960"/>
    <w:rsid w:val="007E1DA2"/>
    <w:rsid w:val="007E3C71"/>
    <w:rsid w:val="007E6CF1"/>
    <w:rsid w:val="007F0A73"/>
    <w:rsid w:val="007F177C"/>
    <w:rsid w:val="007F3211"/>
    <w:rsid w:val="007F4901"/>
    <w:rsid w:val="007F66CB"/>
    <w:rsid w:val="007F7DCE"/>
    <w:rsid w:val="008020E4"/>
    <w:rsid w:val="00805009"/>
    <w:rsid w:val="00806EBC"/>
    <w:rsid w:val="00807219"/>
    <w:rsid w:val="00807264"/>
    <w:rsid w:val="00813F10"/>
    <w:rsid w:val="00817735"/>
    <w:rsid w:val="00824D9C"/>
    <w:rsid w:val="00825B58"/>
    <w:rsid w:val="0083190C"/>
    <w:rsid w:val="00832454"/>
    <w:rsid w:val="0083493D"/>
    <w:rsid w:val="00834A1D"/>
    <w:rsid w:val="00835339"/>
    <w:rsid w:val="00835AB9"/>
    <w:rsid w:val="00836814"/>
    <w:rsid w:val="00837FCE"/>
    <w:rsid w:val="00841007"/>
    <w:rsid w:val="0084384A"/>
    <w:rsid w:val="00844DA4"/>
    <w:rsid w:val="00845E98"/>
    <w:rsid w:val="008471BB"/>
    <w:rsid w:val="008476A7"/>
    <w:rsid w:val="00847C0D"/>
    <w:rsid w:val="008501CC"/>
    <w:rsid w:val="0085090E"/>
    <w:rsid w:val="00851F83"/>
    <w:rsid w:val="00852B43"/>
    <w:rsid w:val="00853CB3"/>
    <w:rsid w:val="0085426E"/>
    <w:rsid w:val="00856F07"/>
    <w:rsid w:val="00860F94"/>
    <w:rsid w:val="00862CE1"/>
    <w:rsid w:val="0086392C"/>
    <w:rsid w:val="00863B6F"/>
    <w:rsid w:val="0086765B"/>
    <w:rsid w:val="008703E6"/>
    <w:rsid w:val="00871D89"/>
    <w:rsid w:val="00873D46"/>
    <w:rsid w:val="00876122"/>
    <w:rsid w:val="008800C2"/>
    <w:rsid w:val="00880820"/>
    <w:rsid w:val="00883324"/>
    <w:rsid w:val="00884174"/>
    <w:rsid w:val="008841CD"/>
    <w:rsid w:val="00886F6E"/>
    <w:rsid w:val="0088736B"/>
    <w:rsid w:val="00887CCE"/>
    <w:rsid w:val="008912F2"/>
    <w:rsid w:val="00892A8E"/>
    <w:rsid w:val="00894581"/>
    <w:rsid w:val="0089572B"/>
    <w:rsid w:val="0089716D"/>
    <w:rsid w:val="008977E6"/>
    <w:rsid w:val="008A0DCC"/>
    <w:rsid w:val="008A1913"/>
    <w:rsid w:val="008A1D13"/>
    <w:rsid w:val="008A2614"/>
    <w:rsid w:val="008A3881"/>
    <w:rsid w:val="008A4087"/>
    <w:rsid w:val="008A5CA3"/>
    <w:rsid w:val="008A725B"/>
    <w:rsid w:val="008B0D12"/>
    <w:rsid w:val="008B1E8E"/>
    <w:rsid w:val="008B23BB"/>
    <w:rsid w:val="008B30F8"/>
    <w:rsid w:val="008B37D9"/>
    <w:rsid w:val="008B654F"/>
    <w:rsid w:val="008C26D5"/>
    <w:rsid w:val="008C41F2"/>
    <w:rsid w:val="008C4E3A"/>
    <w:rsid w:val="008C662D"/>
    <w:rsid w:val="008C6CD8"/>
    <w:rsid w:val="008D0F12"/>
    <w:rsid w:val="008D19F9"/>
    <w:rsid w:val="008D4069"/>
    <w:rsid w:val="008D4DD4"/>
    <w:rsid w:val="008D6FAC"/>
    <w:rsid w:val="008E1F21"/>
    <w:rsid w:val="008E5187"/>
    <w:rsid w:val="008E6100"/>
    <w:rsid w:val="008F26A3"/>
    <w:rsid w:val="008F340F"/>
    <w:rsid w:val="008F39DD"/>
    <w:rsid w:val="008F4A3D"/>
    <w:rsid w:val="008F65D0"/>
    <w:rsid w:val="00900587"/>
    <w:rsid w:val="00900BC5"/>
    <w:rsid w:val="009011E9"/>
    <w:rsid w:val="00901496"/>
    <w:rsid w:val="009014FC"/>
    <w:rsid w:val="00904B5C"/>
    <w:rsid w:val="0090774E"/>
    <w:rsid w:val="00907F2F"/>
    <w:rsid w:val="0091167F"/>
    <w:rsid w:val="00912BA8"/>
    <w:rsid w:val="00912E55"/>
    <w:rsid w:val="00914E16"/>
    <w:rsid w:val="00915869"/>
    <w:rsid w:val="00915F39"/>
    <w:rsid w:val="00916A20"/>
    <w:rsid w:val="009211BE"/>
    <w:rsid w:val="00921317"/>
    <w:rsid w:val="00931299"/>
    <w:rsid w:val="00932301"/>
    <w:rsid w:val="00936358"/>
    <w:rsid w:val="00937146"/>
    <w:rsid w:val="00941AF9"/>
    <w:rsid w:val="00941B0D"/>
    <w:rsid w:val="00943B5A"/>
    <w:rsid w:val="00950354"/>
    <w:rsid w:val="00952557"/>
    <w:rsid w:val="00954168"/>
    <w:rsid w:val="009543AC"/>
    <w:rsid w:val="00954454"/>
    <w:rsid w:val="00954B9B"/>
    <w:rsid w:val="0096174D"/>
    <w:rsid w:val="00963166"/>
    <w:rsid w:val="00964042"/>
    <w:rsid w:val="0096406E"/>
    <w:rsid w:val="009645B0"/>
    <w:rsid w:val="00970DF4"/>
    <w:rsid w:val="009722D5"/>
    <w:rsid w:val="00973048"/>
    <w:rsid w:val="00974781"/>
    <w:rsid w:val="00974D1C"/>
    <w:rsid w:val="009761DD"/>
    <w:rsid w:val="00977273"/>
    <w:rsid w:val="00977A66"/>
    <w:rsid w:val="00977F80"/>
    <w:rsid w:val="00980EE5"/>
    <w:rsid w:val="00983A4A"/>
    <w:rsid w:val="00985D55"/>
    <w:rsid w:val="00986C22"/>
    <w:rsid w:val="0099039A"/>
    <w:rsid w:val="0099080E"/>
    <w:rsid w:val="00991D00"/>
    <w:rsid w:val="009953DA"/>
    <w:rsid w:val="00996CC7"/>
    <w:rsid w:val="009A0314"/>
    <w:rsid w:val="009A159C"/>
    <w:rsid w:val="009B06F3"/>
    <w:rsid w:val="009B08E1"/>
    <w:rsid w:val="009B1354"/>
    <w:rsid w:val="009B2417"/>
    <w:rsid w:val="009B41EB"/>
    <w:rsid w:val="009B5611"/>
    <w:rsid w:val="009B6F87"/>
    <w:rsid w:val="009C3BA2"/>
    <w:rsid w:val="009C5063"/>
    <w:rsid w:val="009C5C71"/>
    <w:rsid w:val="009C73C7"/>
    <w:rsid w:val="009D1780"/>
    <w:rsid w:val="009D27CE"/>
    <w:rsid w:val="009D2958"/>
    <w:rsid w:val="009D623D"/>
    <w:rsid w:val="009D7AC6"/>
    <w:rsid w:val="009E0E34"/>
    <w:rsid w:val="009E15AF"/>
    <w:rsid w:val="009E2424"/>
    <w:rsid w:val="009E25E9"/>
    <w:rsid w:val="009E2F34"/>
    <w:rsid w:val="009E30A0"/>
    <w:rsid w:val="009E3C63"/>
    <w:rsid w:val="009E4CE2"/>
    <w:rsid w:val="009E71F3"/>
    <w:rsid w:val="009E7ADC"/>
    <w:rsid w:val="009F4993"/>
    <w:rsid w:val="009F6085"/>
    <w:rsid w:val="00A012F0"/>
    <w:rsid w:val="00A03D28"/>
    <w:rsid w:val="00A05DB1"/>
    <w:rsid w:val="00A069E3"/>
    <w:rsid w:val="00A107F5"/>
    <w:rsid w:val="00A10B52"/>
    <w:rsid w:val="00A11FAD"/>
    <w:rsid w:val="00A132A7"/>
    <w:rsid w:val="00A147D5"/>
    <w:rsid w:val="00A156E2"/>
    <w:rsid w:val="00A175CA"/>
    <w:rsid w:val="00A2365F"/>
    <w:rsid w:val="00A23792"/>
    <w:rsid w:val="00A2739E"/>
    <w:rsid w:val="00A30844"/>
    <w:rsid w:val="00A31C38"/>
    <w:rsid w:val="00A3277D"/>
    <w:rsid w:val="00A32885"/>
    <w:rsid w:val="00A32B25"/>
    <w:rsid w:val="00A3447B"/>
    <w:rsid w:val="00A35306"/>
    <w:rsid w:val="00A36386"/>
    <w:rsid w:val="00A36768"/>
    <w:rsid w:val="00A36BE0"/>
    <w:rsid w:val="00A41241"/>
    <w:rsid w:val="00A449C8"/>
    <w:rsid w:val="00A4719B"/>
    <w:rsid w:val="00A516FB"/>
    <w:rsid w:val="00A51A2A"/>
    <w:rsid w:val="00A51C51"/>
    <w:rsid w:val="00A52439"/>
    <w:rsid w:val="00A53025"/>
    <w:rsid w:val="00A62466"/>
    <w:rsid w:val="00A62D0C"/>
    <w:rsid w:val="00A6318A"/>
    <w:rsid w:val="00A64855"/>
    <w:rsid w:val="00A663B6"/>
    <w:rsid w:val="00A714C4"/>
    <w:rsid w:val="00A72DC6"/>
    <w:rsid w:val="00A755BD"/>
    <w:rsid w:val="00A77D64"/>
    <w:rsid w:val="00A8450B"/>
    <w:rsid w:val="00A84991"/>
    <w:rsid w:val="00A85131"/>
    <w:rsid w:val="00A86A6C"/>
    <w:rsid w:val="00A87A2A"/>
    <w:rsid w:val="00A87BFA"/>
    <w:rsid w:val="00A91C1F"/>
    <w:rsid w:val="00A9232E"/>
    <w:rsid w:val="00A92820"/>
    <w:rsid w:val="00A942FC"/>
    <w:rsid w:val="00A9432D"/>
    <w:rsid w:val="00A948CC"/>
    <w:rsid w:val="00A956B9"/>
    <w:rsid w:val="00AA0804"/>
    <w:rsid w:val="00AA18DA"/>
    <w:rsid w:val="00AA30F2"/>
    <w:rsid w:val="00AB1848"/>
    <w:rsid w:val="00AB2F24"/>
    <w:rsid w:val="00AB3182"/>
    <w:rsid w:val="00AB4180"/>
    <w:rsid w:val="00AB4CD0"/>
    <w:rsid w:val="00AB5E25"/>
    <w:rsid w:val="00AB777D"/>
    <w:rsid w:val="00AC0ED6"/>
    <w:rsid w:val="00AC180A"/>
    <w:rsid w:val="00AC1ECB"/>
    <w:rsid w:val="00AC3989"/>
    <w:rsid w:val="00AD11C2"/>
    <w:rsid w:val="00AD1E1D"/>
    <w:rsid w:val="00AD22DC"/>
    <w:rsid w:val="00AD2866"/>
    <w:rsid w:val="00AD52FE"/>
    <w:rsid w:val="00AD5E75"/>
    <w:rsid w:val="00AD6059"/>
    <w:rsid w:val="00AE038B"/>
    <w:rsid w:val="00AE055F"/>
    <w:rsid w:val="00AE0C5D"/>
    <w:rsid w:val="00AE569C"/>
    <w:rsid w:val="00AF07EE"/>
    <w:rsid w:val="00AF1E13"/>
    <w:rsid w:val="00AF2D40"/>
    <w:rsid w:val="00AF57CF"/>
    <w:rsid w:val="00AF5C4F"/>
    <w:rsid w:val="00AF6213"/>
    <w:rsid w:val="00B01AC0"/>
    <w:rsid w:val="00B034C2"/>
    <w:rsid w:val="00B0417D"/>
    <w:rsid w:val="00B05174"/>
    <w:rsid w:val="00B119BB"/>
    <w:rsid w:val="00B12751"/>
    <w:rsid w:val="00B13930"/>
    <w:rsid w:val="00B15660"/>
    <w:rsid w:val="00B164CE"/>
    <w:rsid w:val="00B16DC3"/>
    <w:rsid w:val="00B20081"/>
    <w:rsid w:val="00B21E41"/>
    <w:rsid w:val="00B22288"/>
    <w:rsid w:val="00B230F3"/>
    <w:rsid w:val="00B25032"/>
    <w:rsid w:val="00B25249"/>
    <w:rsid w:val="00B25D0D"/>
    <w:rsid w:val="00B31F21"/>
    <w:rsid w:val="00B3349D"/>
    <w:rsid w:val="00B33BEA"/>
    <w:rsid w:val="00B405A5"/>
    <w:rsid w:val="00B40952"/>
    <w:rsid w:val="00B43B1D"/>
    <w:rsid w:val="00B46293"/>
    <w:rsid w:val="00B46987"/>
    <w:rsid w:val="00B50407"/>
    <w:rsid w:val="00B50B07"/>
    <w:rsid w:val="00B50BE5"/>
    <w:rsid w:val="00B50CAD"/>
    <w:rsid w:val="00B51B2D"/>
    <w:rsid w:val="00B568BE"/>
    <w:rsid w:val="00B60861"/>
    <w:rsid w:val="00B61487"/>
    <w:rsid w:val="00B61E22"/>
    <w:rsid w:val="00B6241F"/>
    <w:rsid w:val="00B62D20"/>
    <w:rsid w:val="00B64BBA"/>
    <w:rsid w:val="00B6577C"/>
    <w:rsid w:val="00B6681C"/>
    <w:rsid w:val="00B679A0"/>
    <w:rsid w:val="00B73C1F"/>
    <w:rsid w:val="00B746CC"/>
    <w:rsid w:val="00B755C0"/>
    <w:rsid w:val="00B7681F"/>
    <w:rsid w:val="00B8394E"/>
    <w:rsid w:val="00B92662"/>
    <w:rsid w:val="00B92C04"/>
    <w:rsid w:val="00B93B49"/>
    <w:rsid w:val="00B95CE1"/>
    <w:rsid w:val="00B95D8E"/>
    <w:rsid w:val="00B9770F"/>
    <w:rsid w:val="00B977A4"/>
    <w:rsid w:val="00B97D1E"/>
    <w:rsid w:val="00B97FE2"/>
    <w:rsid w:val="00BA2DF0"/>
    <w:rsid w:val="00BA34B9"/>
    <w:rsid w:val="00BA5B9D"/>
    <w:rsid w:val="00BA6DC2"/>
    <w:rsid w:val="00BA7EA0"/>
    <w:rsid w:val="00BB0325"/>
    <w:rsid w:val="00BB053F"/>
    <w:rsid w:val="00BB3157"/>
    <w:rsid w:val="00BB652D"/>
    <w:rsid w:val="00BB6C04"/>
    <w:rsid w:val="00BB6CA4"/>
    <w:rsid w:val="00BB7C38"/>
    <w:rsid w:val="00BB7EC4"/>
    <w:rsid w:val="00BC40D9"/>
    <w:rsid w:val="00BC4FC0"/>
    <w:rsid w:val="00BC5387"/>
    <w:rsid w:val="00BC6CB9"/>
    <w:rsid w:val="00BD25BB"/>
    <w:rsid w:val="00BD5496"/>
    <w:rsid w:val="00BD5D7C"/>
    <w:rsid w:val="00BD7B62"/>
    <w:rsid w:val="00BE0752"/>
    <w:rsid w:val="00BE0F73"/>
    <w:rsid w:val="00BE1573"/>
    <w:rsid w:val="00BF00EE"/>
    <w:rsid w:val="00BF4670"/>
    <w:rsid w:val="00BF4805"/>
    <w:rsid w:val="00BF6395"/>
    <w:rsid w:val="00BF690A"/>
    <w:rsid w:val="00BF7539"/>
    <w:rsid w:val="00C001F3"/>
    <w:rsid w:val="00C016CC"/>
    <w:rsid w:val="00C052CF"/>
    <w:rsid w:val="00C0632E"/>
    <w:rsid w:val="00C0634E"/>
    <w:rsid w:val="00C06873"/>
    <w:rsid w:val="00C07293"/>
    <w:rsid w:val="00C10739"/>
    <w:rsid w:val="00C10AC7"/>
    <w:rsid w:val="00C12891"/>
    <w:rsid w:val="00C13D80"/>
    <w:rsid w:val="00C14215"/>
    <w:rsid w:val="00C14244"/>
    <w:rsid w:val="00C152BB"/>
    <w:rsid w:val="00C21AC4"/>
    <w:rsid w:val="00C233A3"/>
    <w:rsid w:val="00C24120"/>
    <w:rsid w:val="00C259C2"/>
    <w:rsid w:val="00C26316"/>
    <w:rsid w:val="00C2747C"/>
    <w:rsid w:val="00C300E3"/>
    <w:rsid w:val="00C31749"/>
    <w:rsid w:val="00C323BB"/>
    <w:rsid w:val="00C345CC"/>
    <w:rsid w:val="00C36C3C"/>
    <w:rsid w:val="00C450AF"/>
    <w:rsid w:val="00C4640D"/>
    <w:rsid w:val="00C52868"/>
    <w:rsid w:val="00C54411"/>
    <w:rsid w:val="00C548D7"/>
    <w:rsid w:val="00C576FC"/>
    <w:rsid w:val="00C65B94"/>
    <w:rsid w:val="00C65E5D"/>
    <w:rsid w:val="00C65ECB"/>
    <w:rsid w:val="00C712E6"/>
    <w:rsid w:val="00C7170E"/>
    <w:rsid w:val="00C72A8E"/>
    <w:rsid w:val="00C757D0"/>
    <w:rsid w:val="00C80DF0"/>
    <w:rsid w:val="00C81097"/>
    <w:rsid w:val="00C821F4"/>
    <w:rsid w:val="00C933AC"/>
    <w:rsid w:val="00C95051"/>
    <w:rsid w:val="00C96C16"/>
    <w:rsid w:val="00C97D35"/>
    <w:rsid w:val="00C97EF3"/>
    <w:rsid w:val="00CA3275"/>
    <w:rsid w:val="00CA3C56"/>
    <w:rsid w:val="00CB0B0E"/>
    <w:rsid w:val="00CB0BA0"/>
    <w:rsid w:val="00CB2514"/>
    <w:rsid w:val="00CB34B2"/>
    <w:rsid w:val="00CB53F8"/>
    <w:rsid w:val="00CB7517"/>
    <w:rsid w:val="00CC0462"/>
    <w:rsid w:val="00CC23C3"/>
    <w:rsid w:val="00CC2911"/>
    <w:rsid w:val="00CD2732"/>
    <w:rsid w:val="00CD2E2B"/>
    <w:rsid w:val="00CD3C94"/>
    <w:rsid w:val="00CD61BB"/>
    <w:rsid w:val="00CD79B1"/>
    <w:rsid w:val="00CE09CA"/>
    <w:rsid w:val="00CE597D"/>
    <w:rsid w:val="00CE6DE9"/>
    <w:rsid w:val="00CF0326"/>
    <w:rsid w:val="00CF0EDC"/>
    <w:rsid w:val="00CF16E9"/>
    <w:rsid w:val="00CF23AC"/>
    <w:rsid w:val="00CF3153"/>
    <w:rsid w:val="00CF69D4"/>
    <w:rsid w:val="00CF6B14"/>
    <w:rsid w:val="00D00B95"/>
    <w:rsid w:val="00D01631"/>
    <w:rsid w:val="00D01CD5"/>
    <w:rsid w:val="00D04369"/>
    <w:rsid w:val="00D04C1A"/>
    <w:rsid w:val="00D05956"/>
    <w:rsid w:val="00D061B2"/>
    <w:rsid w:val="00D11165"/>
    <w:rsid w:val="00D123B2"/>
    <w:rsid w:val="00D13B68"/>
    <w:rsid w:val="00D14E22"/>
    <w:rsid w:val="00D204B7"/>
    <w:rsid w:val="00D2110B"/>
    <w:rsid w:val="00D23E4D"/>
    <w:rsid w:val="00D26D68"/>
    <w:rsid w:val="00D32A73"/>
    <w:rsid w:val="00D33271"/>
    <w:rsid w:val="00D3516D"/>
    <w:rsid w:val="00D3664A"/>
    <w:rsid w:val="00D36B8B"/>
    <w:rsid w:val="00D407DB"/>
    <w:rsid w:val="00D40C27"/>
    <w:rsid w:val="00D436F7"/>
    <w:rsid w:val="00D43D18"/>
    <w:rsid w:val="00D45050"/>
    <w:rsid w:val="00D47204"/>
    <w:rsid w:val="00D506EE"/>
    <w:rsid w:val="00D531B2"/>
    <w:rsid w:val="00D55931"/>
    <w:rsid w:val="00D56AF4"/>
    <w:rsid w:val="00D60ED0"/>
    <w:rsid w:val="00D61BCC"/>
    <w:rsid w:val="00D649F2"/>
    <w:rsid w:val="00D671C9"/>
    <w:rsid w:val="00D704EE"/>
    <w:rsid w:val="00D71618"/>
    <w:rsid w:val="00D7256F"/>
    <w:rsid w:val="00D74424"/>
    <w:rsid w:val="00D75C66"/>
    <w:rsid w:val="00D76456"/>
    <w:rsid w:val="00D77F48"/>
    <w:rsid w:val="00D80A7E"/>
    <w:rsid w:val="00D844E3"/>
    <w:rsid w:val="00D97063"/>
    <w:rsid w:val="00D978FD"/>
    <w:rsid w:val="00DA042F"/>
    <w:rsid w:val="00DA15AB"/>
    <w:rsid w:val="00DA1A31"/>
    <w:rsid w:val="00DA327B"/>
    <w:rsid w:val="00DA393F"/>
    <w:rsid w:val="00DA3DF7"/>
    <w:rsid w:val="00DA4851"/>
    <w:rsid w:val="00DA4870"/>
    <w:rsid w:val="00DA5D0A"/>
    <w:rsid w:val="00DA5EB5"/>
    <w:rsid w:val="00DA6FFC"/>
    <w:rsid w:val="00DA71BA"/>
    <w:rsid w:val="00DB179D"/>
    <w:rsid w:val="00DB2172"/>
    <w:rsid w:val="00DB7E76"/>
    <w:rsid w:val="00DC0258"/>
    <w:rsid w:val="00DC12D7"/>
    <w:rsid w:val="00DC21DF"/>
    <w:rsid w:val="00DC46D9"/>
    <w:rsid w:val="00DC512E"/>
    <w:rsid w:val="00DC5C4B"/>
    <w:rsid w:val="00DD106A"/>
    <w:rsid w:val="00DD3EE2"/>
    <w:rsid w:val="00DD5122"/>
    <w:rsid w:val="00DE1A7F"/>
    <w:rsid w:val="00DE2111"/>
    <w:rsid w:val="00DE316B"/>
    <w:rsid w:val="00DE3DAE"/>
    <w:rsid w:val="00DE419A"/>
    <w:rsid w:val="00DE4A05"/>
    <w:rsid w:val="00DE4B95"/>
    <w:rsid w:val="00DE655D"/>
    <w:rsid w:val="00DE66A4"/>
    <w:rsid w:val="00DE7282"/>
    <w:rsid w:val="00DF0121"/>
    <w:rsid w:val="00DF26CC"/>
    <w:rsid w:val="00DF2960"/>
    <w:rsid w:val="00DF2E2F"/>
    <w:rsid w:val="00DF7566"/>
    <w:rsid w:val="00E005EE"/>
    <w:rsid w:val="00E02AD7"/>
    <w:rsid w:val="00E02D74"/>
    <w:rsid w:val="00E031D4"/>
    <w:rsid w:val="00E112E2"/>
    <w:rsid w:val="00E11C3F"/>
    <w:rsid w:val="00E11D83"/>
    <w:rsid w:val="00E120E4"/>
    <w:rsid w:val="00E127A5"/>
    <w:rsid w:val="00E13F70"/>
    <w:rsid w:val="00E14794"/>
    <w:rsid w:val="00E17B94"/>
    <w:rsid w:val="00E20CDB"/>
    <w:rsid w:val="00E27000"/>
    <w:rsid w:val="00E279EB"/>
    <w:rsid w:val="00E31F36"/>
    <w:rsid w:val="00E33527"/>
    <w:rsid w:val="00E3633F"/>
    <w:rsid w:val="00E369F4"/>
    <w:rsid w:val="00E406A1"/>
    <w:rsid w:val="00E41F02"/>
    <w:rsid w:val="00E50EED"/>
    <w:rsid w:val="00E53959"/>
    <w:rsid w:val="00E53DF3"/>
    <w:rsid w:val="00E55C18"/>
    <w:rsid w:val="00E57CC8"/>
    <w:rsid w:val="00E60375"/>
    <w:rsid w:val="00E635F5"/>
    <w:rsid w:val="00E63D0E"/>
    <w:rsid w:val="00E65174"/>
    <w:rsid w:val="00E666FB"/>
    <w:rsid w:val="00E66EF4"/>
    <w:rsid w:val="00E674A1"/>
    <w:rsid w:val="00E726BF"/>
    <w:rsid w:val="00E74333"/>
    <w:rsid w:val="00E74BA9"/>
    <w:rsid w:val="00E75D37"/>
    <w:rsid w:val="00E76234"/>
    <w:rsid w:val="00E7646E"/>
    <w:rsid w:val="00E76D98"/>
    <w:rsid w:val="00E81C9B"/>
    <w:rsid w:val="00E83BDE"/>
    <w:rsid w:val="00E853AA"/>
    <w:rsid w:val="00E86092"/>
    <w:rsid w:val="00E8647F"/>
    <w:rsid w:val="00E86507"/>
    <w:rsid w:val="00E87AD8"/>
    <w:rsid w:val="00E92281"/>
    <w:rsid w:val="00E93AB8"/>
    <w:rsid w:val="00E93F40"/>
    <w:rsid w:val="00E975FD"/>
    <w:rsid w:val="00EA1807"/>
    <w:rsid w:val="00EA4C2F"/>
    <w:rsid w:val="00EA53D3"/>
    <w:rsid w:val="00EA5ADF"/>
    <w:rsid w:val="00EA711A"/>
    <w:rsid w:val="00EB108B"/>
    <w:rsid w:val="00EB1264"/>
    <w:rsid w:val="00EB188D"/>
    <w:rsid w:val="00EB25DF"/>
    <w:rsid w:val="00EB3094"/>
    <w:rsid w:val="00EB3B31"/>
    <w:rsid w:val="00EB7C1A"/>
    <w:rsid w:val="00EC0E2D"/>
    <w:rsid w:val="00EC1CFF"/>
    <w:rsid w:val="00EC2BEE"/>
    <w:rsid w:val="00EC4A12"/>
    <w:rsid w:val="00EC566F"/>
    <w:rsid w:val="00EC5BA8"/>
    <w:rsid w:val="00EC68EF"/>
    <w:rsid w:val="00ED02BE"/>
    <w:rsid w:val="00ED4B3D"/>
    <w:rsid w:val="00ED67FC"/>
    <w:rsid w:val="00ED6825"/>
    <w:rsid w:val="00ED7009"/>
    <w:rsid w:val="00ED767A"/>
    <w:rsid w:val="00EE10C2"/>
    <w:rsid w:val="00EE1C25"/>
    <w:rsid w:val="00EE592C"/>
    <w:rsid w:val="00EE6467"/>
    <w:rsid w:val="00EE6E59"/>
    <w:rsid w:val="00EE799E"/>
    <w:rsid w:val="00F001BA"/>
    <w:rsid w:val="00F0136E"/>
    <w:rsid w:val="00F02E90"/>
    <w:rsid w:val="00F06943"/>
    <w:rsid w:val="00F070C6"/>
    <w:rsid w:val="00F121AA"/>
    <w:rsid w:val="00F126CD"/>
    <w:rsid w:val="00F177C6"/>
    <w:rsid w:val="00F2215F"/>
    <w:rsid w:val="00F227B5"/>
    <w:rsid w:val="00F2344B"/>
    <w:rsid w:val="00F245D5"/>
    <w:rsid w:val="00F2545C"/>
    <w:rsid w:val="00F2793E"/>
    <w:rsid w:val="00F301A7"/>
    <w:rsid w:val="00F3145B"/>
    <w:rsid w:val="00F35F7E"/>
    <w:rsid w:val="00F36CDB"/>
    <w:rsid w:val="00F40EFB"/>
    <w:rsid w:val="00F457E0"/>
    <w:rsid w:val="00F457E6"/>
    <w:rsid w:val="00F45AA7"/>
    <w:rsid w:val="00F45D1A"/>
    <w:rsid w:val="00F4604F"/>
    <w:rsid w:val="00F5182F"/>
    <w:rsid w:val="00F5418A"/>
    <w:rsid w:val="00F560D7"/>
    <w:rsid w:val="00F61945"/>
    <w:rsid w:val="00F61DC0"/>
    <w:rsid w:val="00F622AE"/>
    <w:rsid w:val="00F66451"/>
    <w:rsid w:val="00F67B43"/>
    <w:rsid w:val="00F70C10"/>
    <w:rsid w:val="00F73F19"/>
    <w:rsid w:val="00F76FEC"/>
    <w:rsid w:val="00F77DCF"/>
    <w:rsid w:val="00F82B42"/>
    <w:rsid w:val="00F8309C"/>
    <w:rsid w:val="00F839E6"/>
    <w:rsid w:val="00F86964"/>
    <w:rsid w:val="00F90B57"/>
    <w:rsid w:val="00F91BC3"/>
    <w:rsid w:val="00F92B7F"/>
    <w:rsid w:val="00F93597"/>
    <w:rsid w:val="00F935EA"/>
    <w:rsid w:val="00F94082"/>
    <w:rsid w:val="00F94667"/>
    <w:rsid w:val="00F95715"/>
    <w:rsid w:val="00F95A97"/>
    <w:rsid w:val="00F972C7"/>
    <w:rsid w:val="00FA0698"/>
    <w:rsid w:val="00FA2BA4"/>
    <w:rsid w:val="00FA3D4F"/>
    <w:rsid w:val="00FA603B"/>
    <w:rsid w:val="00FA66E9"/>
    <w:rsid w:val="00FB0A3E"/>
    <w:rsid w:val="00FB15F5"/>
    <w:rsid w:val="00FB4976"/>
    <w:rsid w:val="00FB65D6"/>
    <w:rsid w:val="00FB75B4"/>
    <w:rsid w:val="00FB7BB9"/>
    <w:rsid w:val="00FC163B"/>
    <w:rsid w:val="00FC1A74"/>
    <w:rsid w:val="00FC2957"/>
    <w:rsid w:val="00FC2966"/>
    <w:rsid w:val="00FC516E"/>
    <w:rsid w:val="00FD3A69"/>
    <w:rsid w:val="00FD4827"/>
    <w:rsid w:val="00FD482C"/>
    <w:rsid w:val="00FD61DD"/>
    <w:rsid w:val="00FE0448"/>
    <w:rsid w:val="00FE15A9"/>
    <w:rsid w:val="00FE23FF"/>
    <w:rsid w:val="00FE5610"/>
    <w:rsid w:val="00FE7307"/>
    <w:rsid w:val="00FF0210"/>
    <w:rsid w:val="00FF6270"/>
    <w:rsid w:val="00FF7EDC"/>
    <w:rsid w:val="0192007F"/>
    <w:rsid w:val="02BA1068"/>
    <w:rsid w:val="02D67062"/>
    <w:rsid w:val="03534CF9"/>
    <w:rsid w:val="03D7298D"/>
    <w:rsid w:val="05016624"/>
    <w:rsid w:val="055D47FD"/>
    <w:rsid w:val="055E329C"/>
    <w:rsid w:val="05DB1F9C"/>
    <w:rsid w:val="06E8614B"/>
    <w:rsid w:val="073A5781"/>
    <w:rsid w:val="084C3256"/>
    <w:rsid w:val="08CF59BE"/>
    <w:rsid w:val="097025FD"/>
    <w:rsid w:val="0A374356"/>
    <w:rsid w:val="0AA64EB0"/>
    <w:rsid w:val="0AB24315"/>
    <w:rsid w:val="0B3141DD"/>
    <w:rsid w:val="0B4D618F"/>
    <w:rsid w:val="0BFC70D4"/>
    <w:rsid w:val="0CFA4B04"/>
    <w:rsid w:val="0D6B046C"/>
    <w:rsid w:val="0DA61891"/>
    <w:rsid w:val="0DB153FC"/>
    <w:rsid w:val="0EE25520"/>
    <w:rsid w:val="0EF716B2"/>
    <w:rsid w:val="0F0F7EC9"/>
    <w:rsid w:val="10427AFD"/>
    <w:rsid w:val="11437C7F"/>
    <w:rsid w:val="124E2555"/>
    <w:rsid w:val="13571B32"/>
    <w:rsid w:val="1400670E"/>
    <w:rsid w:val="143C1804"/>
    <w:rsid w:val="146C4FBE"/>
    <w:rsid w:val="14B261B9"/>
    <w:rsid w:val="15C303F8"/>
    <w:rsid w:val="17190D1A"/>
    <w:rsid w:val="17704FDD"/>
    <w:rsid w:val="18992F12"/>
    <w:rsid w:val="18AA45B7"/>
    <w:rsid w:val="18AE4052"/>
    <w:rsid w:val="18B66D94"/>
    <w:rsid w:val="1988156E"/>
    <w:rsid w:val="19D523AC"/>
    <w:rsid w:val="1BC3603C"/>
    <w:rsid w:val="1CC029F2"/>
    <w:rsid w:val="1CE81B35"/>
    <w:rsid w:val="1E314451"/>
    <w:rsid w:val="21583C09"/>
    <w:rsid w:val="23141598"/>
    <w:rsid w:val="23B12A78"/>
    <w:rsid w:val="274937D4"/>
    <w:rsid w:val="28A47AEB"/>
    <w:rsid w:val="28D669B5"/>
    <w:rsid w:val="2AB33EF8"/>
    <w:rsid w:val="2AC07F6C"/>
    <w:rsid w:val="2B7934A0"/>
    <w:rsid w:val="2D0C5BA9"/>
    <w:rsid w:val="2E3116EB"/>
    <w:rsid w:val="2E370174"/>
    <w:rsid w:val="2EC956FE"/>
    <w:rsid w:val="2F183A1E"/>
    <w:rsid w:val="2FF0746E"/>
    <w:rsid w:val="30066D51"/>
    <w:rsid w:val="30360AE7"/>
    <w:rsid w:val="317C25E2"/>
    <w:rsid w:val="323123AD"/>
    <w:rsid w:val="326400AE"/>
    <w:rsid w:val="32CD1F1B"/>
    <w:rsid w:val="350961FB"/>
    <w:rsid w:val="357166DC"/>
    <w:rsid w:val="357A4EE9"/>
    <w:rsid w:val="357B4695"/>
    <w:rsid w:val="35806BC6"/>
    <w:rsid w:val="368B27DB"/>
    <w:rsid w:val="36926D70"/>
    <w:rsid w:val="37D66254"/>
    <w:rsid w:val="39131D0B"/>
    <w:rsid w:val="3A255968"/>
    <w:rsid w:val="3AAB55ED"/>
    <w:rsid w:val="3C644EA9"/>
    <w:rsid w:val="3DB77F28"/>
    <w:rsid w:val="3FCB2D65"/>
    <w:rsid w:val="3FFC02E6"/>
    <w:rsid w:val="3FFC2FB3"/>
    <w:rsid w:val="40115446"/>
    <w:rsid w:val="407A0A82"/>
    <w:rsid w:val="41055F87"/>
    <w:rsid w:val="46101642"/>
    <w:rsid w:val="46B1579F"/>
    <w:rsid w:val="4773688E"/>
    <w:rsid w:val="49A51CEB"/>
    <w:rsid w:val="4AB26E06"/>
    <w:rsid w:val="4AF87069"/>
    <w:rsid w:val="4B024083"/>
    <w:rsid w:val="4B952357"/>
    <w:rsid w:val="4C587296"/>
    <w:rsid w:val="4DE60CC3"/>
    <w:rsid w:val="4FBB069A"/>
    <w:rsid w:val="5078007B"/>
    <w:rsid w:val="51624189"/>
    <w:rsid w:val="51986BAA"/>
    <w:rsid w:val="521F4FFE"/>
    <w:rsid w:val="523A0AC7"/>
    <w:rsid w:val="52C505AF"/>
    <w:rsid w:val="53A1040D"/>
    <w:rsid w:val="53AA64D1"/>
    <w:rsid w:val="54F9196B"/>
    <w:rsid w:val="54FE54E2"/>
    <w:rsid w:val="558761B9"/>
    <w:rsid w:val="56761AC9"/>
    <w:rsid w:val="58A9762E"/>
    <w:rsid w:val="5A503B1D"/>
    <w:rsid w:val="5A640693"/>
    <w:rsid w:val="5C43579B"/>
    <w:rsid w:val="5CFE6E8C"/>
    <w:rsid w:val="5E9564F2"/>
    <w:rsid w:val="5F0B038B"/>
    <w:rsid w:val="5F7C1CDD"/>
    <w:rsid w:val="602662D8"/>
    <w:rsid w:val="61D90F8B"/>
    <w:rsid w:val="62B14D56"/>
    <w:rsid w:val="62F15233"/>
    <w:rsid w:val="63851E22"/>
    <w:rsid w:val="63F12705"/>
    <w:rsid w:val="645F1873"/>
    <w:rsid w:val="64756CF6"/>
    <w:rsid w:val="669D3DEA"/>
    <w:rsid w:val="66F623B0"/>
    <w:rsid w:val="6793792B"/>
    <w:rsid w:val="67A46DDB"/>
    <w:rsid w:val="67F97CF4"/>
    <w:rsid w:val="6A891CC9"/>
    <w:rsid w:val="6AB81505"/>
    <w:rsid w:val="6B2A62DB"/>
    <w:rsid w:val="6B7D624C"/>
    <w:rsid w:val="6BB06909"/>
    <w:rsid w:val="6CD33FD8"/>
    <w:rsid w:val="6D2A1AE7"/>
    <w:rsid w:val="6D994C3D"/>
    <w:rsid w:val="6DCC3414"/>
    <w:rsid w:val="6F82769E"/>
    <w:rsid w:val="6FF611D6"/>
    <w:rsid w:val="706E12CF"/>
    <w:rsid w:val="70A3120C"/>
    <w:rsid w:val="70FC18C8"/>
    <w:rsid w:val="72E76F23"/>
    <w:rsid w:val="7392095E"/>
    <w:rsid w:val="74292116"/>
    <w:rsid w:val="749B0D69"/>
    <w:rsid w:val="761A40EB"/>
    <w:rsid w:val="78062E82"/>
    <w:rsid w:val="782D16A3"/>
    <w:rsid w:val="78A25BD7"/>
    <w:rsid w:val="78B67344"/>
    <w:rsid w:val="78EC1DCC"/>
    <w:rsid w:val="7A1D4F20"/>
    <w:rsid w:val="7A886780"/>
    <w:rsid w:val="7AE33524"/>
    <w:rsid w:val="7DB33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line="520" w:lineRule="exact"/>
      <w:outlineLvl w:val="0"/>
    </w:pPr>
    <w:rPr>
      <w:rFonts w:ascii="宋体" w:hAnsi="宋体"/>
      <w:sz w:val="28"/>
    </w:rPr>
  </w:style>
  <w:style w:type="paragraph" w:styleId="3">
    <w:name w:val="heading 2"/>
    <w:basedOn w:val="1"/>
    <w:next w:val="1"/>
    <w:link w:val="53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bCs/>
      <w:sz w:val="32"/>
      <w:szCs w:val="32"/>
    </w:rPr>
  </w:style>
  <w:style w:type="character" w:default="1" w:styleId="24">
    <w:name w:val="Default Paragraph Font"/>
    <w:unhideWhenUsed/>
    <w:qFormat/>
    <w:uiPriority w:val="1"/>
  </w:style>
  <w:style w:type="table" w:default="1" w:styleId="2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subject"/>
    <w:basedOn w:val="6"/>
    <w:next w:val="6"/>
    <w:qFormat/>
    <w:uiPriority w:val="0"/>
    <w:rPr>
      <w:b/>
      <w:bCs/>
    </w:r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toc 7"/>
    <w:basedOn w:val="1"/>
    <w:next w:val="1"/>
    <w:qFormat/>
    <w:uiPriority w:val="0"/>
    <w:pPr>
      <w:ind w:left="2520" w:leftChars="1200"/>
    </w:pPr>
  </w:style>
  <w:style w:type="paragraph" w:styleId="8">
    <w:name w:val="caption"/>
    <w:basedOn w:val="1"/>
    <w:next w:val="1"/>
    <w:qFormat/>
    <w:uiPriority w:val="0"/>
    <w:rPr>
      <w:rFonts w:ascii="Arial" w:hAnsi="Arial" w:eastAsia="黑体" w:cs="Arial"/>
      <w:sz w:val="20"/>
    </w:rPr>
  </w:style>
  <w:style w:type="paragraph" w:styleId="9">
    <w:name w:val="Body Text Indent"/>
    <w:basedOn w:val="1"/>
    <w:link w:val="50"/>
    <w:qFormat/>
    <w:uiPriority w:val="0"/>
    <w:pPr>
      <w:spacing w:after="120"/>
      <w:ind w:left="420" w:leftChars="200"/>
    </w:pPr>
    <w:rPr>
      <w:szCs w:val="24"/>
    </w:rPr>
  </w:style>
  <w:style w:type="paragraph" w:styleId="10">
    <w:name w:val="toc 5"/>
    <w:basedOn w:val="1"/>
    <w:next w:val="1"/>
    <w:qFormat/>
    <w:uiPriority w:val="0"/>
    <w:pPr>
      <w:ind w:left="1680" w:leftChars="800"/>
    </w:pPr>
  </w:style>
  <w:style w:type="paragraph" w:styleId="11">
    <w:name w:val="toc 3"/>
    <w:basedOn w:val="1"/>
    <w:next w:val="1"/>
    <w:qFormat/>
    <w:uiPriority w:val="0"/>
    <w:pPr>
      <w:ind w:left="840" w:leftChars="400"/>
    </w:pPr>
  </w:style>
  <w:style w:type="paragraph" w:styleId="12">
    <w:name w:val="Plain Text"/>
    <w:basedOn w:val="1"/>
    <w:qFormat/>
    <w:uiPriority w:val="0"/>
    <w:rPr>
      <w:rFonts w:ascii="宋体" w:hAnsi="Courier New"/>
    </w:rPr>
  </w:style>
  <w:style w:type="paragraph" w:styleId="13">
    <w:name w:val="toc 8"/>
    <w:basedOn w:val="1"/>
    <w:next w:val="1"/>
    <w:qFormat/>
    <w:uiPriority w:val="0"/>
    <w:pPr>
      <w:ind w:left="2940" w:leftChars="1400"/>
    </w:pPr>
  </w:style>
  <w:style w:type="paragraph" w:styleId="14">
    <w:name w:val="Date"/>
    <w:basedOn w:val="1"/>
    <w:next w:val="1"/>
    <w:qFormat/>
    <w:uiPriority w:val="0"/>
    <w:pPr>
      <w:ind w:left="100" w:leftChars="2500"/>
    </w:pPr>
  </w:style>
  <w:style w:type="paragraph" w:styleId="15">
    <w:name w:val="Balloon Text"/>
    <w:basedOn w:val="1"/>
    <w:qFormat/>
    <w:uiPriority w:val="0"/>
    <w:rPr>
      <w:sz w:val="18"/>
      <w:szCs w:val="18"/>
    </w:rPr>
  </w:style>
  <w:style w:type="paragraph" w:styleId="16">
    <w:name w:val="footer"/>
    <w:basedOn w:val="1"/>
    <w:link w:val="3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8">
    <w:name w:val="toc 1"/>
    <w:basedOn w:val="1"/>
    <w:next w:val="1"/>
    <w:qFormat/>
    <w:uiPriority w:val="0"/>
    <w:pPr>
      <w:tabs>
        <w:tab w:val="right" w:leader="dot" w:pos="8296"/>
      </w:tabs>
      <w:spacing w:line="360" w:lineRule="auto"/>
    </w:pPr>
    <w:rPr>
      <w:sz w:val="24"/>
    </w:rPr>
  </w:style>
  <w:style w:type="paragraph" w:styleId="19">
    <w:name w:val="toc 4"/>
    <w:basedOn w:val="1"/>
    <w:next w:val="1"/>
    <w:qFormat/>
    <w:uiPriority w:val="0"/>
    <w:pPr>
      <w:ind w:left="1260" w:leftChars="600"/>
    </w:pPr>
  </w:style>
  <w:style w:type="paragraph" w:styleId="20">
    <w:name w:val="toc 6"/>
    <w:basedOn w:val="1"/>
    <w:next w:val="1"/>
    <w:qFormat/>
    <w:uiPriority w:val="0"/>
    <w:pPr>
      <w:ind w:left="2100" w:leftChars="1000"/>
    </w:pPr>
  </w:style>
  <w:style w:type="paragraph" w:styleId="21">
    <w:name w:val="toc 2"/>
    <w:basedOn w:val="1"/>
    <w:next w:val="1"/>
    <w:qFormat/>
    <w:uiPriority w:val="0"/>
    <w:pPr>
      <w:ind w:left="420" w:leftChars="200"/>
    </w:pPr>
  </w:style>
  <w:style w:type="paragraph" w:styleId="22">
    <w:name w:val="toc 9"/>
    <w:basedOn w:val="1"/>
    <w:next w:val="1"/>
    <w:qFormat/>
    <w:uiPriority w:val="0"/>
    <w:pPr>
      <w:ind w:left="3360" w:leftChars="1600"/>
    </w:pPr>
  </w:style>
  <w:style w:type="paragraph" w:styleId="2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25">
    <w:name w:val="page number"/>
    <w:basedOn w:val="24"/>
    <w:qFormat/>
    <w:uiPriority w:val="0"/>
    <w:rPr>
      <w:rFonts w:ascii="Times New Roman" w:hAnsi="Times New Roman" w:eastAsia="宋体" w:cs="Times New Roman"/>
    </w:rPr>
  </w:style>
  <w:style w:type="character" w:styleId="26">
    <w:name w:val="Hyperlink"/>
    <w:qFormat/>
    <w:uiPriority w:val="0"/>
    <w:rPr>
      <w:rFonts w:ascii="Times New Roman" w:hAnsi="Times New Roman" w:eastAsia="宋体" w:cs="Times New Roman"/>
      <w:color w:val="0000FF"/>
      <w:u w:val="single"/>
    </w:rPr>
  </w:style>
  <w:style w:type="character" w:styleId="27">
    <w:name w:val="annotation reference"/>
    <w:qFormat/>
    <w:uiPriority w:val="0"/>
    <w:rPr>
      <w:rFonts w:ascii="Times New Roman" w:hAnsi="Times New Roman" w:eastAsia="宋体" w:cs="Times New Roman"/>
      <w:sz w:val="21"/>
      <w:szCs w:val="21"/>
    </w:rPr>
  </w:style>
  <w:style w:type="table" w:styleId="29">
    <w:name w:val="Table Grid"/>
    <w:basedOn w:val="2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0">
    <w:name w:val="前言、引言标题"/>
    <w:next w:val="1"/>
    <w:qFormat/>
    <w:uiPriority w:val="0"/>
    <w:pPr>
      <w:numPr>
        <w:ilvl w:val="0"/>
        <w:numId w:val="1"/>
      </w:numPr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31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32">
    <w:name w:val="章标题"/>
    <w:next w:val="31"/>
    <w:qFormat/>
    <w:uiPriority w:val="0"/>
    <w:pPr>
      <w:numPr>
        <w:ilvl w:val="1"/>
        <w:numId w:val="1"/>
      </w:numPr>
      <w:spacing w:beforeLines="50" w:afterLines="5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33">
    <w:name w:val="一级条标题"/>
    <w:basedOn w:val="32"/>
    <w:next w:val="31"/>
    <w:qFormat/>
    <w:uiPriority w:val="0"/>
    <w:pPr>
      <w:numPr>
        <w:ilvl w:val="2"/>
      </w:numPr>
      <w:spacing w:beforeLines="0" w:afterLines="0"/>
      <w:outlineLvl w:val="2"/>
    </w:pPr>
    <w:rPr>
      <w:rFonts w:ascii="Times New Roman" w:eastAsia="宋体"/>
    </w:rPr>
  </w:style>
  <w:style w:type="paragraph" w:customStyle="1" w:styleId="34">
    <w:name w:val="二级条标题"/>
    <w:basedOn w:val="33"/>
    <w:next w:val="31"/>
    <w:qFormat/>
    <w:uiPriority w:val="0"/>
    <w:pPr>
      <w:numPr>
        <w:ilvl w:val="3"/>
      </w:numPr>
      <w:outlineLvl w:val="3"/>
    </w:pPr>
  </w:style>
  <w:style w:type="paragraph" w:customStyle="1" w:styleId="35">
    <w:name w:val="三级条标题"/>
    <w:basedOn w:val="34"/>
    <w:next w:val="31"/>
    <w:qFormat/>
    <w:uiPriority w:val="0"/>
    <w:pPr>
      <w:numPr>
        <w:ilvl w:val="4"/>
      </w:numPr>
      <w:outlineLvl w:val="4"/>
    </w:pPr>
  </w:style>
  <w:style w:type="paragraph" w:customStyle="1" w:styleId="36">
    <w:name w:val="四级条标题"/>
    <w:basedOn w:val="35"/>
    <w:next w:val="31"/>
    <w:qFormat/>
    <w:uiPriority w:val="0"/>
    <w:pPr>
      <w:numPr>
        <w:ilvl w:val="5"/>
      </w:numPr>
      <w:outlineLvl w:val="5"/>
    </w:pPr>
  </w:style>
  <w:style w:type="paragraph" w:customStyle="1" w:styleId="37">
    <w:name w:val="五级条标题"/>
    <w:basedOn w:val="36"/>
    <w:next w:val="31"/>
    <w:qFormat/>
    <w:uiPriority w:val="0"/>
    <w:pPr>
      <w:numPr>
        <w:ilvl w:val="6"/>
      </w:numPr>
      <w:outlineLvl w:val="6"/>
    </w:pPr>
  </w:style>
  <w:style w:type="character" w:customStyle="1" w:styleId="38">
    <w:name w:val="页脚 Char"/>
    <w:link w:val="16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39">
    <w:name w:val="apple-converted-space"/>
    <w:basedOn w:val="24"/>
    <w:qFormat/>
    <w:uiPriority w:val="0"/>
    <w:rPr>
      <w:rFonts w:ascii="Times New Roman" w:hAnsi="Times New Roman" w:eastAsia="宋体" w:cs="Times New Roman"/>
    </w:rPr>
  </w:style>
  <w:style w:type="paragraph" w:customStyle="1" w:styleId="40">
    <w:name w:val="标准文件_段"/>
    <w:qFormat/>
    <w:uiPriority w:val="0"/>
    <w:pPr>
      <w:autoSpaceDE w:val="0"/>
      <w:autoSpaceDN w:val="0"/>
      <w:adjustRightInd w:val="0"/>
      <w:snapToGrid w:val="0"/>
      <w:spacing w:line="276" w:lineRule="auto"/>
      <w:ind w:right="-105" w:rightChars="-50" w:firstLine="488" w:firstLineChars="200"/>
      <w:jc w:val="both"/>
    </w:pPr>
    <w:rPr>
      <w:rFonts w:ascii="宋体" w:hAnsi="宋体" w:eastAsia="宋体" w:cs="黑体"/>
      <w:color w:val="00FF00"/>
      <w:spacing w:val="2"/>
      <w:sz w:val="24"/>
      <w:lang w:val="en-US" w:eastAsia="zh-CN" w:bidi="ar-SA"/>
    </w:rPr>
  </w:style>
  <w:style w:type="character" w:customStyle="1" w:styleId="41">
    <w:name w:val="Char Char2"/>
    <w:qFormat/>
    <w:uiPriority w:val="0"/>
    <w:rPr>
      <w:rFonts w:ascii="Times New Roman" w:hAnsi="Times New Roman" w:eastAsia="宋体" w:cs="Times New Roman"/>
      <w:kern w:val="2"/>
      <w:sz w:val="21"/>
    </w:rPr>
  </w:style>
  <w:style w:type="character" w:customStyle="1" w:styleId="42">
    <w:name w:val="Char Char"/>
    <w:qFormat/>
    <w:uiPriority w:val="0"/>
    <w:rPr>
      <w:rFonts w:ascii="Times New Roman" w:hAnsi="Times New Roman" w:eastAsia="宋体" w:cs="Times New Roman"/>
      <w:b/>
      <w:bCs/>
      <w:kern w:val="2"/>
      <w:sz w:val="21"/>
    </w:rPr>
  </w:style>
  <w:style w:type="character" w:customStyle="1" w:styleId="43">
    <w:name w:val="段 Char Char"/>
    <w:qFormat/>
    <w:uiPriority w:val="0"/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44">
    <w:name w:val="样式 (符号) 宋体 行距: 最小值 27 磅"/>
    <w:basedOn w:val="1"/>
    <w:qFormat/>
    <w:uiPriority w:val="0"/>
    <w:pPr>
      <w:spacing w:line="400" w:lineRule="atLeast"/>
    </w:pPr>
    <w:rPr>
      <w:rFonts w:hAnsi="宋体" w:cs="宋体"/>
    </w:rPr>
  </w:style>
  <w:style w:type="paragraph" w:customStyle="1" w:styleId="45">
    <w:name w:val="Char Char1"/>
    <w:basedOn w:val="1"/>
    <w:qFormat/>
    <w:uiPriority w:val="0"/>
    <w:rPr>
      <w:rFonts w:ascii="Tahoma" w:hAnsi="Tahoma"/>
      <w:sz w:val="24"/>
    </w:rPr>
  </w:style>
  <w:style w:type="paragraph" w:customStyle="1" w:styleId="46">
    <w:name w:val="Char Char Char1 Char Char Char Char Char Char 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18"/>
      <w:lang w:eastAsia="en-US"/>
    </w:rPr>
  </w:style>
  <w:style w:type="paragraph" w:customStyle="1" w:styleId="47">
    <w:name w:val="Char"/>
    <w:basedOn w:val="1"/>
    <w:qFormat/>
    <w:uiPriority w:val="0"/>
    <w:pPr>
      <w:tabs>
        <w:tab w:val="left" w:pos="360"/>
      </w:tabs>
    </w:pPr>
  </w:style>
  <w:style w:type="character" w:customStyle="1" w:styleId="48">
    <w:name w:val="yiv1204497060"/>
    <w:basedOn w:val="24"/>
    <w:qFormat/>
    <w:uiPriority w:val="0"/>
    <w:rPr>
      <w:rFonts w:ascii="Times New Roman" w:hAnsi="Times New Roman" w:eastAsia="宋体" w:cs="Times New Roman"/>
    </w:rPr>
  </w:style>
  <w:style w:type="paragraph" w:customStyle="1" w:styleId="49">
    <w:name w:val="封面标准英文名称"/>
    <w:qFormat/>
    <w:uiPriority w:val="0"/>
    <w:pPr>
      <w:widowControl w:val="0"/>
      <w:spacing w:before="370" w:line="40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character" w:customStyle="1" w:styleId="50">
    <w:name w:val="正文文本缩进 Char"/>
    <w:link w:val="9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paragraph" w:customStyle="1" w:styleId="51">
    <w:name w:val="Char Char Char Char Char 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lang w:eastAsia="en-US"/>
    </w:rPr>
  </w:style>
  <w:style w:type="paragraph" w:customStyle="1" w:styleId="5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character" w:customStyle="1" w:styleId="53">
    <w:name w:val="标题 2 Char"/>
    <w:basedOn w:val="24"/>
    <w:link w:val="3"/>
    <w:qFormat/>
    <w:uiPriority w:val="0"/>
    <w:rPr>
      <w:rFonts w:ascii="Arial" w:hAnsi="Arial" w:eastAsia="黑体"/>
      <w:b/>
      <w:bCs/>
      <w:sz w:val="32"/>
      <w:szCs w:val="32"/>
    </w:rPr>
  </w:style>
  <w:style w:type="paragraph" w:customStyle="1" w:styleId="54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55">
    <w:name w:val="WPSOffice手动目录 2"/>
    <w:qFormat/>
    <w:uiPriority w:val="0"/>
    <w:pPr>
      <w:ind w:left="200" w:leftChars="200"/>
    </w:pPr>
    <w:rPr>
      <w:rFonts w:ascii="Times New Roman" w:hAnsi="Times New Roman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36.wmf"/><Relationship Id="rId98" Type="http://schemas.openxmlformats.org/officeDocument/2006/relationships/oleObject" Target="embeddings/oleObject38.bin"/><Relationship Id="rId97" Type="http://schemas.openxmlformats.org/officeDocument/2006/relationships/image" Target="media/image35.wmf"/><Relationship Id="rId96" Type="http://schemas.openxmlformats.org/officeDocument/2006/relationships/oleObject" Target="embeddings/oleObject37.bin"/><Relationship Id="rId95" Type="http://schemas.openxmlformats.org/officeDocument/2006/relationships/image" Target="media/image34.wmf"/><Relationship Id="rId94" Type="http://schemas.openxmlformats.org/officeDocument/2006/relationships/oleObject" Target="embeddings/oleObject36.bin"/><Relationship Id="rId93" Type="http://schemas.openxmlformats.org/officeDocument/2006/relationships/image" Target="media/image33.wmf"/><Relationship Id="rId92" Type="http://schemas.openxmlformats.org/officeDocument/2006/relationships/oleObject" Target="embeddings/oleObject35.bin"/><Relationship Id="rId91" Type="http://schemas.openxmlformats.org/officeDocument/2006/relationships/image" Target="media/image32.wmf"/><Relationship Id="rId90" Type="http://schemas.openxmlformats.org/officeDocument/2006/relationships/oleObject" Target="embeddings/oleObject34.bin"/><Relationship Id="rId9" Type="http://schemas.openxmlformats.org/officeDocument/2006/relationships/header" Target="header5.xml"/><Relationship Id="rId89" Type="http://schemas.openxmlformats.org/officeDocument/2006/relationships/image" Target="media/image31.wmf"/><Relationship Id="rId88" Type="http://schemas.openxmlformats.org/officeDocument/2006/relationships/oleObject" Target="embeddings/oleObject33.bin"/><Relationship Id="rId87" Type="http://schemas.openxmlformats.org/officeDocument/2006/relationships/image" Target="media/image30.wmf"/><Relationship Id="rId86" Type="http://schemas.openxmlformats.org/officeDocument/2006/relationships/oleObject" Target="embeddings/oleObject32.bin"/><Relationship Id="rId85" Type="http://schemas.openxmlformats.org/officeDocument/2006/relationships/image" Target="media/image29.wmf"/><Relationship Id="rId84" Type="http://schemas.openxmlformats.org/officeDocument/2006/relationships/oleObject" Target="embeddings/oleObject31.bin"/><Relationship Id="rId83" Type="http://schemas.openxmlformats.org/officeDocument/2006/relationships/image" Target="media/image28.wmf"/><Relationship Id="rId82" Type="http://schemas.openxmlformats.org/officeDocument/2006/relationships/oleObject" Target="embeddings/oleObject30.bin"/><Relationship Id="rId81" Type="http://schemas.openxmlformats.org/officeDocument/2006/relationships/image" Target="media/image27.wmf"/><Relationship Id="rId80" Type="http://schemas.openxmlformats.org/officeDocument/2006/relationships/oleObject" Target="embeddings/oleObject29.bin"/><Relationship Id="rId8" Type="http://schemas.openxmlformats.org/officeDocument/2006/relationships/header" Target="header4.xml"/><Relationship Id="rId79" Type="http://schemas.openxmlformats.org/officeDocument/2006/relationships/image" Target="media/image26.wmf"/><Relationship Id="rId78" Type="http://schemas.openxmlformats.org/officeDocument/2006/relationships/oleObject" Target="embeddings/oleObject28.bin"/><Relationship Id="rId77" Type="http://schemas.openxmlformats.org/officeDocument/2006/relationships/image" Target="media/image25.wmf"/><Relationship Id="rId76" Type="http://schemas.openxmlformats.org/officeDocument/2006/relationships/oleObject" Target="embeddings/oleObject27.bin"/><Relationship Id="rId75" Type="http://schemas.openxmlformats.org/officeDocument/2006/relationships/image" Target="media/image24.wmf"/><Relationship Id="rId74" Type="http://schemas.openxmlformats.org/officeDocument/2006/relationships/oleObject" Target="embeddings/oleObject26.bin"/><Relationship Id="rId73" Type="http://schemas.openxmlformats.org/officeDocument/2006/relationships/image" Target="media/image23.wmf"/><Relationship Id="rId72" Type="http://schemas.openxmlformats.org/officeDocument/2006/relationships/oleObject" Target="embeddings/oleObject25.bin"/><Relationship Id="rId71" Type="http://schemas.openxmlformats.org/officeDocument/2006/relationships/image" Target="media/image22.wmf"/><Relationship Id="rId70" Type="http://schemas.openxmlformats.org/officeDocument/2006/relationships/oleObject" Target="embeddings/oleObject24.bin"/><Relationship Id="rId7" Type="http://schemas.openxmlformats.org/officeDocument/2006/relationships/footer" Target="footer2.xml"/><Relationship Id="rId69" Type="http://schemas.openxmlformats.org/officeDocument/2006/relationships/image" Target="media/image21.wmf"/><Relationship Id="rId68" Type="http://schemas.openxmlformats.org/officeDocument/2006/relationships/oleObject" Target="embeddings/oleObject23.bin"/><Relationship Id="rId67" Type="http://schemas.openxmlformats.org/officeDocument/2006/relationships/image" Target="media/image20.wmf"/><Relationship Id="rId66" Type="http://schemas.openxmlformats.org/officeDocument/2006/relationships/oleObject" Target="embeddings/oleObject22.bin"/><Relationship Id="rId65" Type="http://schemas.openxmlformats.org/officeDocument/2006/relationships/image" Target="media/image19.wmf"/><Relationship Id="rId64" Type="http://schemas.openxmlformats.org/officeDocument/2006/relationships/oleObject" Target="embeddings/oleObject21.bin"/><Relationship Id="rId63" Type="http://schemas.openxmlformats.org/officeDocument/2006/relationships/image" Target="media/image18.wmf"/><Relationship Id="rId62" Type="http://schemas.openxmlformats.org/officeDocument/2006/relationships/oleObject" Target="embeddings/oleObject20.bin"/><Relationship Id="rId61" Type="http://schemas.openxmlformats.org/officeDocument/2006/relationships/image" Target="media/image17.wmf"/><Relationship Id="rId60" Type="http://schemas.openxmlformats.org/officeDocument/2006/relationships/oleObject" Target="embeddings/oleObject19.bin"/><Relationship Id="rId6" Type="http://schemas.openxmlformats.org/officeDocument/2006/relationships/footer" Target="footer1.xml"/><Relationship Id="rId59" Type="http://schemas.openxmlformats.org/officeDocument/2006/relationships/image" Target="media/image16.wmf"/><Relationship Id="rId58" Type="http://schemas.openxmlformats.org/officeDocument/2006/relationships/oleObject" Target="embeddings/oleObject18.bin"/><Relationship Id="rId57" Type="http://schemas.openxmlformats.org/officeDocument/2006/relationships/image" Target="media/image15.wmf"/><Relationship Id="rId56" Type="http://schemas.openxmlformats.org/officeDocument/2006/relationships/oleObject" Target="embeddings/oleObject17.bin"/><Relationship Id="rId55" Type="http://schemas.openxmlformats.org/officeDocument/2006/relationships/image" Target="media/image14.wmf"/><Relationship Id="rId54" Type="http://schemas.openxmlformats.org/officeDocument/2006/relationships/oleObject" Target="embeddings/oleObject16.bin"/><Relationship Id="rId53" Type="http://schemas.openxmlformats.org/officeDocument/2006/relationships/image" Target="media/image13.wmf"/><Relationship Id="rId52" Type="http://schemas.openxmlformats.org/officeDocument/2006/relationships/oleObject" Target="embeddings/oleObject15.bin"/><Relationship Id="rId51" Type="http://schemas.openxmlformats.org/officeDocument/2006/relationships/image" Target="media/image12.wmf"/><Relationship Id="rId50" Type="http://schemas.openxmlformats.org/officeDocument/2006/relationships/oleObject" Target="embeddings/oleObject14.bin"/><Relationship Id="rId5" Type="http://schemas.openxmlformats.org/officeDocument/2006/relationships/header" Target="header3.xml"/><Relationship Id="rId49" Type="http://schemas.openxmlformats.org/officeDocument/2006/relationships/image" Target="media/image11.wmf"/><Relationship Id="rId48" Type="http://schemas.openxmlformats.org/officeDocument/2006/relationships/oleObject" Target="embeddings/oleObject13.bin"/><Relationship Id="rId47" Type="http://schemas.openxmlformats.org/officeDocument/2006/relationships/oleObject" Target="embeddings/oleObject12.bin"/><Relationship Id="rId46" Type="http://schemas.openxmlformats.org/officeDocument/2006/relationships/oleObject" Target="embeddings/oleObject11.bin"/><Relationship Id="rId45" Type="http://schemas.openxmlformats.org/officeDocument/2006/relationships/image" Target="media/image10.wmf"/><Relationship Id="rId44" Type="http://schemas.openxmlformats.org/officeDocument/2006/relationships/oleObject" Target="embeddings/oleObject10.bin"/><Relationship Id="rId43" Type="http://schemas.openxmlformats.org/officeDocument/2006/relationships/image" Target="media/image9.wmf"/><Relationship Id="rId42" Type="http://schemas.openxmlformats.org/officeDocument/2006/relationships/oleObject" Target="embeddings/oleObject9.bin"/><Relationship Id="rId41" Type="http://schemas.openxmlformats.org/officeDocument/2006/relationships/image" Target="media/image8.wmf"/><Relationship Id="rId40" Type="http://schemas.openxmlformats.org/officeDocument/2006/relationships/oleObject" Target="embeddings/oleObject8.bin"/><Relationship Id="rId4" Type="http://schemas.openxmlformats.org/officeDocument/2006/relationships/header" Target="header2.xml"/><Relationship Id="rId39" Type="http://schemas.openxmlformats.org/officeDocument/2006/relationships/image" Target="media/image7.wmf"/><Relationship Id="rId38" Type="http://schemas.openxmlformats.org/officeDocument/2006/relationships/oleObject" Target="embeddings/oleObject7.bin"/><Relationship Id="rId37" Type="http://schemas.openxmlformats.org/officeDocument/2006/relationships/image" Target="media/image6.wmf"/><Relationship Id="rId36" Type="http://schemas.openxmlformats.org/officeDocument/2006/relationships/oleObject" Target="embeddings/oleObject6.bin"/><Relationship Id="rId35" Type="http://schemas.openxmlformats.org/officeDocument/2006/relationships/image" Target="media/image5.wmf"/><Relationship Id="rId34" Type="http://schemas.openxmlformats.org/officeDocument/2006/relationships/oleObject" Target="embeddings/oleObject5.bin"/><Relationship Id="rId33" Type="http://schemas.openxmlformats.org/officeDocument/2006/relationships/image" Target="media/image4.wmf"/><Relationship Id="rId32" Type="http://schemas.openxmlformats.org/officeDocument/2006/relationships/oleObject" Target="embeddings/oleObject4.bin"/><Relationship Id="rId31" Type="http://schemas.openxmlformats.org/officeDocument/2006/relationships/image" Target="media/image3.wmf"/><Relationship Id="rId30" Type="http://schemas.openxmlformats.org/officeDocument/2006/relationships/oleObject" Target="embeddings/oleObject3.bin"/><Relationship Id="rId3" Type="http://schemas.openxmlformats.org/officeDocument/2006/relationships/header" Target="header1.xml"/><Relationship Id="rId29" Type="http://schemas.openxmlformats.org/officeDocument/2006/relationships/image" Target="media/image2.wmf"/><Relationship Id="rId28" Type="http://schemas.openxmlformats.org/officeDocument/2006/relationships/oleObject" Target="embeddings/oleObject2.bin"/><Relationship Id="rId27" Type="http://schemas.openxmlformats.org/officeDocument/2006/relationships/image" Target="media/image1.wmf"/><Relationship Id="rId26" Type="http://schemas.openxmlformats.org/officeDocument/2006/relationships/oleObject" Target="embeddings/oleObject1.bin"/><Relationship Id="rId25" Type="http://schemas.openxmlformats.org/officeDocument/2006/relationships/theme" Target="theme/theme1.xml"/><Relationship Id="rId24" Type="http://schemas.openxmlformats.org/officeDocument/2006/relationships/footer" Target="footer13.xml"/><Relationship Id="rId23" Type="http://schemas.openxmlformats.org/officeDocument/2006/relationships/footer" Target="footer12.xml"/><Relationship Id="rId22" Type="http://schemas.openxmlformats.org/officeDocument/2006/relationships/header" Target="header9.xml"/><Relationship Id="rId21" Type="http://schemas.openxmlformats.org/officeDocument/2006/relationships/footer" Target="footer11.xml"/><Relationship Id="rId20" Type="http://schemas.openxmlformats.org/officeDocument/2006/relationships/footer" Target="footer10.xml"/><Relationship Id="rId2" Type="http://schemas.openxmlformats.org/officeDocument/2006/relationships/settings" Target="settings.xml"/><Relationship Id="rId19" Type="http://schemas.openxmlformats.org/officeDocument/2006/relationships/footer" Target="footer9.xml"/><Relationship Id="rId18" Type="http://schemas.openxmlformats.org/officeDocument/2006/relationships/footer" Target="footer8.xml"/><Relationship Id="rId17" Type="http://schemas.openxmlformats.org/officeDocument/2006/relationships/footer" Target="footer7.xml"/><Relationship Id="rId16" Type="http://schemas.openxmlformats.org/officeDocument/2006/relationships/header" Target="header8.xml"/><Relationship Id="rId15" Type="http://schemas.openxmlformats.org/officeDocument/2006/relationships/footer" Target="footer6.xml"/><Relationship Id="rId145" Type="http://schemas.openxmlformats.org/officeDocument/2006/relationships/fontTable" Target="fontTable.xml"/><Relationship Id="rId144" Type="http://schemas.openxmlformats.org/officeDocument/2006/relationships/customXml" Target="../customXml/item2.xml"/><Relationship Id="rId143" Type="http://schemas.openxmlformats.org/officeDocument/2006/relationships/numbering" Target="numbering.xml"/><Relationship Id="rId142" Type="http://schemas.openxmlformats.org/officeDocument/2006/relationships/customXml" Target="../customXml/item1.xml"/><Relationship Id="rId141" Type="http://schemas.openxmlformats.org/officeDocument/2006/relationships/image" Target="media/image46.wmf"/><Relationship Id="rId140" Type="http://schemas.openxmlformats.org/officeDocument/2006/relationships/oleObject" Target="embeddings/oleObject70.bin"/><Relationship Id="rId14" Type="http://schemas.openxmlformats.org/officeDocument/2006/relationships/footer" Target="footer5.xml"/><Relationship Id="rId139" Type="http://schemas.openxmlformats.org/officeDocument/2006/relationships/image" Target="media/image45.wmf"/><Relationship Id="rId138" Type="http://schemas.openxmlformats.org/officeDocument/2006/relationships/oleObject" Target="embeddings/oleObject69.bin"/><Relationship Id="rId137" Type="http://schemas.openxmlformats.org/officeDocument/2006/relationships/oleObject" Target="embeddings/oleObject68.bin"/><Relationship Id="rId136" Type="http://schemas.openxmlformats.org/officeDocument/2006/relationships/oleObject" Target="embeddings/oleObject67.bin"/><Relationship Id="rId135" Type="http://schemas.openxmlformats.org/officeDocument/2006/relationships/oleObject" Target="embeddings/oleObject66.bin"/><Relationship Id="rId134" Type="http://schemas.openxmlformats.org/officeDocument/2006/relationships/oleObject" Target="embeddings/oleObject65.bin"/><Relationship Id="rId133" Type="http://schemas.openxmlformats.org/officeDocument/2006/relationships/oleObject" Target="embeddings/oleObject64.bin"/><Relationship Id="rId132" Type="http://schemas.openxmlformats.org/officeDocument/2006/relationships/oleObject" Target="embeddings/oleObject63.bin"/><Relationship Id="rId131" Type="http://schemas.openxmlformats.org/officeDocument/2006/relationships/oleObject" Target="embeddings/oleObject62.bin"/><Relationship Id="rId130" Type="http://schemas.openxmlformats.org/officeDocument/2006/relationships/image" Target="media/image44.wmf"/><Relationship Id="rId13" Type="http://schemas.openxmlformats.org/officeDocument/2006/relationships/header" Target="header7.xml"/><Relationship Id="rId129" Type="http://schemas.openxmlformats.org/officeDocument/2006/relationships/oleObject" Target="embeddings/oleObject61.bin"/><Relationship Id="rId128" Type="http://schemas.openxmlformats.org/officeDocument/2006/relationships/oleObject" Target="embeddings/oleObject60.bin"/><Relationship Id="rId127" Type="http://schemas.openxmlformats.org/officeDocument/2006/relationships/image" Target="media/image43.wmf"/><Relationship Id="rId126" Type="http://schemas.openxmlformats.org/officeDocument/2006/relationships/oleObject" Target="embeddings/oleObject59.bin"/><Relationship Id="rId125" Type="http://schemas.openxmlformats.org/officeDocument/2006/relationships/image" Target="media/image42.wmf"/><Relationship Id="rId124" Type="http://schemas.openxmlformats.org/officeDocument/2006/relationships/oleObject" Target="embeddings/oleObject58.bin"/><Relationship Id="rId123" Type="http://schemas.openxmlformats.org/officeDocument/2006/relationships/image" Target="media/image41.wmf"/><Relationship Id="rId122" Type="http://schemas.openxmlformats.org/officeDocument/2006/relationships/oleObject" Target="embeddings/oleObject57.bin"/><Relationship Id="rId121" Type="http://schemas.openxmlformats.org/officeDocument/2006/relationships/oleObject" Target="embeddings/oleObject56.bin"/><Relationship Id="rId120" Type="http://schemas.openxmlformats.org/officeDocument/2006/relationships/image" Target="media/image40.wmf"/><Relationship Id="rId12" Type="http://schemas.openxmlformats.org/officeDocument/2006/relationships/header" Target="header6.xml"/><Relationship Id="rId119" Type="http://schemas.openxmlformats.org/officeDocument/2006/relationships/oleObject" Target="embeddings/oleObject55.bin"/><Relationship Id="rId118" Type="http://schemas.openxmlformats.org/officeDocument/2006/relationships/image" Target="media/image39.wmf"/><Relationship Id="rId117" Type="http://schemas.openxmlformats.org/officeDocument/2006/relationships/oleObject" Target="embeddings/oleObject54.bin"/><Relationship Id="rId116" Type="http://schemas.openxmlformats.org/officeDocument/2006/relationships/oleObject" Target="embeddings/oleObject53.bin"/><Relationship Id="rId115" Type="http://schemas.openxmlformats.org/officeDocument/2006/relationships/oleObject" Target="embeddings/oleObject52.bin"/><Relationship Id="rId114" Type="http://schemas.openxmlformats.org/officeDocument/2006/relationships/oleObject" Target="embeddings/oleObject51.bin"/><Relationship Id="rId113" Type="http://schemas.openxmlformats.org/officeDocument/2006/relationships/oleObject" Target="embeddings/oleObject50.bin"/><Relationship Id="rId112" Type="http://schemas.openxmlformats.org/officeDocument/2006/relationships/oleObject" Target="embeddings/oleObject49.bin"/><Relationship Id="rId111" Type="http://schemas.openxmlformats.org/officeDocument/2006/relationships/oleObject" Target="embeddings/oleObject48.bin"/><Relationship Id="rId110" Type="http://schemas.openxmlformats.org/officeDocument/2006/relationships/oleObject" Target="embeddings/oleObject47.bin"/><Relationship Id="rId11" Type="http://schemas.openxmlformats.org/officeDocument/2006/relationships/footer" Target="footer4.xml"/><Relationship Id="rId109" Type="http://schemas.openxmlformats.org/officeDocument/2006/relationships/oleObject" Target="embeddings/oleObject46.bin"/><Relationship Id="rId108" Type="http://schemas.openxmlformats.org/officeDocument/2006/relationships/oleObject" Target="embeddings/oleObject45.bin"/><Relationship Id="rId107" Type="http://schemas.openxmlformats.org/officeDocument/2006/relationships/oleObject" Target="embeddings/oleObject44.bin"/><Relationship Id="rId106" Type="http://schemas.openxmlformats.org/officeDocument/2006/relationships/oleObject" Target="embeddings/oleObject43.bin"/><Relationship Id="rId105" Type="http://schemas.openxmlformats.org/officeDocument/2006/relationships/oleObject" Target="embeddings/oleObject42.bin"/><Relationship Id="rId104" Type="http://schemas.openxmlformats.org/officeDocument/2006/relationships/oleObject" Target="embeddings/oleObject41.bin"/><Relationship Id="rId103" Type="http://schemas.openxmlformats.org/officeDocument/2006/relationships/image" Target="media/image38.wmf"/><Relationship Id="rId102" Type="http://schemas.openxmlformats.org/officeDocument/2006/relationships/oleObject" Target="embeddings/oleObject40.bin"/><Relationship Id="rId101" Type="http://schemas.openxmlformats.org/officeDocument/2006/relationships/image" Target="media/image37.wmf"/><Relationship Id="rId100" Type="http://schemas.openxmlformats.org/officeDocument/2006/relationships/oleObject" Target="embeddings/oleObject39.bin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  <customShpInfo spid="_x0000_s1103"/>
    <customShpInfo spid="_x0000_s1104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BB9F459-576C-4ED7-ACA5-006DFF7FFC8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lb</Company>
  <Pages>23</Pages>
  <Words>2138</Words>
  <Characters>12188</Characters>
  <Lines>101</Lines>
  <Paragraphs>28</Paragraphs>
  <TotalTime>5</TotalTime>
  <ScaleCrop>false</ScaleCrop>
  <LinksUpToDate>false</LinksUpToDate>
  <CharactersWithSpaces>14298</CharactersWithSpaces>
  <Application>WPS Office_10.1.0.7616_F1E327BC-269C-435d-A152-05C5408002CA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2018-10-11T02:19:00Z</dcterms:created>
  <dc:creator>梁玉红</dc:creator>
  <cp:lastModifiedBy>胡彪</cp:lastModifiedBy>
  <cp:lastPrinted>2018-10-15T00:38:00Z</cp:lastPrinted>
  <dcterms:modified xsi:type="dcterms:W3CDTF">2018-10-22T03:29:11Z</dcterms:modified>
  <dc:title>内尺寸正文</dc:title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2052-10.1.0.7616</vt:lpwstr>
  </property>
</Properties>
</file>